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jpg" ContentType="image/jpeg"/>
  <Override PartName="/word/media/rId104.jpg" ContentType="image/jpeg"/>
  <Override PartName="/word/media/rId110.jpg" ContentType="image/jpeg"/>
  <Override PartName="/word/media/rId106.jpg" ContentType="image/jpeg"/>
  <Override PartName="/word/media/rId108.jpg" ContentType="image/jpeg"/>
  <Override PartName="/word/media/rId114.jpg" ContentType="image/jpeg"/>
  <Override PartName="/word/media/rId112.jpg" ContentType="image/jpeg"/>
  <Override PartName="/word/media/rId98.jpg" ContentType="image/jpeg"/>
  <Override PartName="/word/media/rId102.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Title:</w:t>
      </w:r>
      <w:r>
        <w:t xml:space="preserve"> </w:t>
      </w:r>
      <w:r>
        <w:t xml:space="preserve">Increasing</w:t>
      </w:r>
      <w:r>
        <w:t xml:space="preserve"> </w:t>
      </w:r>
      <w:r>
        <w:t xml:space="preserve">Chlorophyll</w:t>
      </w:r>
      <w:r>
        <w:t xml:space="preserve"> </w:t>
      </w:r>
      <w:r>
        <w:rPr>
          <w:i/>
        </w:rPr>
        <w:t xml:space="preserve">a</w:t>
      </w:r>
      <w:r>
        <w:t xml:space="preserve"> </w:t>
      </w:r>
      <w:r>
        <w:t xml:space="preserve">Amid</w:t>
      </w:r>
      <w:r>
        <w:t xml:space="preserve"> </w:t>
      </w:r>
      <w:r>
        <w:t xml:space="preserve">Stable</w:t>
      </w:r>
      <w:r>
        <w:t xml:space="preserve"> </w:t>
      </w:r>
      <w:r>
        <w:t xml:space="preserve">Nutrient</w:t>
      </w:r>
      <w:r>
        <w:t xml:space="preserve"> </w:t>
      </w:r>
      <w:r>
        <w:t xml:space="preserve">Concentrations</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b/>
        </w:rPr>
        <w:t xml:space="preserve">Authors:</w:t>
      </w:r>
      <w:r>
        <w:t xml:space="preserve"> </w:t>
      </w: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b/>
        </w:rPr>
        <w:t xml:space="preserve">Corresponding</w:t>
      </w:r>
      <w:r>
        <w:rPr>
          <w:b/>
        </w:rPr>
        <w:t xml:space="preserve"> </w:t>
      </w:r>
      <w:r>
        <w:rPr>
          <w:b/>
        </w:rPr>
        <w:t xml:space="preserve">author:</w:t>
      </w:r>
      <w:r>
        <w:rPr>
          <w:b/>
        </w:rPr>
        <w:t xml:space="preserve"> </w:t>
      </w:r>
      <w:hyperlink r:id="rId20">
        <w:r>
          <w:rPr>
            <w:rStyle w:val="Hyperlink"/>
            <w:b/>
          </w:rPr>
          <w:t xml:space="preserve">hollister.jeff@epa.gov</w:t>
        </w:r>
      </w:hyperlink>
    </w:p>
    <w:p>
      <w:pPr>
        <w:pStyle w:val="Abstract"/>
      </w:pPr>
      <w:r>
        <w:rPr>
          <w:b/>
        </w:rPr>
        <w:t xml:space="preserve">Abstract:</w:t>
      </w:r>
      <w:r>
        <w:t xml:space="preserve"> </w:t>
      </w: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analyze</w:t>
      </w:r>
      <w:r>
        <w:t xml:space="preserve"> </w:t>
      </w:r>
      <w:r>
        <w:t xml:space="preserve">a</w:t>
      </w:r>
      <w:r>
        <w:t xml:space="preserve"> </w:t>
      </w:r>
      <w:r>
        <w:t xml:space="preserve">sub-regional</w:t>
      </w:r>
      <w:r>
        <w:t xml:space="preserve"> </w:t>
      </w:r>
      <w:r>
        <w:t xml:space="preserve">(i.e.,</w:t>
      </w:r>
      <w:r>
        <w:t xml:space="preserve"> </w:t>
      </w:r>
      <w:r>
        <w:t xml:space="preserve">3000</w:t>
      </w:r>
      <w:r>
        <w:t xml:space="preserve"> </w:t>
      </w:r>
      <w:r>
        <w:t xml:space="preserve">km</w:t>
      </w:r>
      <w:r>
        <w:rPr>
          <w:vertAlign w:val="superscript"/>
        </w:rPr>
        <w:t xml:space="preserve">2</w:t>
      </w:r>
      <w:r>
        <w:t xml:space="preserve">)</w:t>
      </w:r>
      <w:r>
        <w:t xml:space="preserve"> </w:t>
      </w:r>
      <w:r>
        <w:t xml:space="preserve">trend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extents,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state</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shows</w:t>
      </w:r>
      <w:r>
        <w:t xml:space="preserve"> </w:t>
      </w:r>
      <w:r>
        <w:t xml:space="preserve">a</w:t>
      </w:r>
      <w:r>
        <w:t xml:space="preserve"> </w:t>
      </w:r>
      <w:r>
        <w:t xml:space="preserve">weak</w:t>
      </w:r>
      <w:r>
        <w:t xml:space="preserve"> </w:t>
      </w:r>
      <w:r>
        <w:t xml:space="preserve">increase</w:t>
      </w:r>
      <w:r>
        <w:t xml:space="preserve"> </w:t>
      </w:r>
      <w:r>
        <w:t xml:space="preserve">driven</w:t>
      </w:r>
      <w:r>
        <w:t xml:space="preserve"> </w:t>
      </w:r>
      <w:r>
        <w:t xml:space="preserve">by</w:t>
      </w:r>
      <w:r>
        <w:t xml:space="preserve"> </w:t>
      </w:r>
      <w:r>
        <w:t xml:space="preserve">low</w:t>
      </w:r>
      <w:r>
        <w:t xml:space="preserve"> </w:t>
      </w:r>
      <w:r>
        <w:t xml:space="preserve">years</w:t>
      </w:r>
      <w:r>
        <w:t xml:space="preserve"> </w:t>
      </w:r>
      <w:r>
        <w:t xml:space="preserve">in</w:t>
      </w:r>
      <w:r>
        <w:t xml:space="preserve"> </w:t>
      </w:r>
      <w:r>
        <w:t xml:space="preserve">the</w:t>
      </w:r>
      <w:r>
        <w:t xml:space="preserve"> </w:t>
      </w:r>
      <w:r>
        <w:t xml:space="preserve">early</w:t>
      </w:r>
      <w:r>
        <w:t xml:space="preserve"> </w:t>
      </w:r>
      <w:r>
        <w:t xml:space="preserve">1990s.</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
        </w:rPr>
        <w:t xml:space="preserve">a</w:t>
      </w:r>
      <w:r>
        <w:t xml:space="preserve">,</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This</w:t>
      </w:r>
      <w:r>
        <w:t xml:space="preserve"> </w:t>
      </w:r>
      <w:r>
        <w:t xml:space="preserve">analysis</w:t>
      </w:r>
      <w:r>
        <w:t xml:space="preserve"> </w:t>
      </w:r>
      <w:r>
        <w:t xml:space="preserve">suggests</w:t>
      </w:r>
      <w:r>
        <w:t xml:space="preserve"> </w:t>
      </w:r>
      <w:r>
        <w:t xml:space="preserve">an</w:t>
      </w:r>
      <w:r>
        <w:t xml:space="preserve"> </w:t>
      </w:r>
      <w:r>
        <w:t xml:space="preserve">association</w:t>
      </w:r>
      <w:r>
        <w:t xml:space="preserve"> </w:t>
      </w:r>
      <w:r>
        <w:t xml:space="preserve">between</w:t>
      </w:r>
      <w:r>
        <w:t xml:space="preserve"> </w:t>
      </w:r>
      <w:r>
        <w:t xml:space="preserve">lake</w:t>
      </w:r>
      <w:r>
        <w:t xml:space="preserve"> </w:t>
      </w:r>
      <w:r>
        <w:t xml:space="preserve">temperature</w:t>
      </w:r>
      <w:r>
        <w:t xml:space="preserve"> </w:t>
      </w:r>
      <w:r>
        <w:t xml:space="preserve">and</w:t>
      </w:r>
      <w:r>
        <w:t xml:space="preserve"> </w:t>
      </w:r>
      <w:r>
        <w:t xml:space="preserve">primary</w:t>
      </w:r>
      <w:r>
        <w:t xml:space="preserve"> </w:t>
      </w:r>
      <w:r>
        <w:t xml:space="preserve">production.</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r>
        <w:br/>
      </w:r>
      <w:r>
        <w:rPr>
          <w:b/>
        </w:rPr>
        <w:t xml:space="preserve">Keywords:</w:t>
      </w:r>
      <w:r>
        <w:t xml:space="preserve"> </w:t>
      </w:r>
      <w:r>
        <w:t xml:space="preserve">Volunteer</w:t>
      </w:r>
      <w:r>
        <w:t xml:space="preserve"> </w:t>
      </w:r>
      <w:r>
        <w:t xml:space="preserve">Monitoring,</w:t>
      </w:r>
      <w:r>
        <w:t xml:space="preserve"> </w:t>
      </w:r>
      <w:r>
        <w:t xml:space="preserve">Citizen</w:t>
      </w:r>
      <w:r>
        <w:t xml:space="preserve"> </w:t>
      </w:r>
      <w:r>
        <w:t xml:space="preserve">Science,</w:t>
      </w:r>
      <w:r>
        <w:t xml:space="preserve"> </w:t>
      </w:r>
      <w:r>
        <w:t xml:space="preserve">Nutrients,</w:t>
      </w:r>
      <w:r>
        <w:t xml:space="preserve"> </w:t>
      </w:r>
      <w:r>
        <w:t xml:space="preserve">Lakes,</w:t>
      </w:r>
      <w:r>
        <w:t xml:space="preserve"> </w:t>
      </w:r>
      <w:r>
        <w:t xml:space="preserve">Trend</w:t>
      </w:r>
      <w:r>
        <w:t xml:space="preserve"> </w:t>
      </w:r>
      <w:r>
        <w:t xml:space="preserve">Analysis,</w:t>
      </w:r>
      <w:r>
        <w:t xml:space="preserve"> </w:t>
      </w:r>
      <w:r>
        <w:t xml:space="preserve">Long</w:t>
      </w:r>
      <w:r>
        <w:t xml:space="preserve"> </w:t>
      </w:r>
      <w:r>
        <w:t xml:space="preserve">Term</w:t>
      </w:r>
    </w:p>
    <w:p>
      <w:pPr>
        <w:pStyle w:val="Heading1"/>
      </w:pPr>
      <w:bookmarkStart w:id="21" w:name="introduction"/>
      <w:r>
        <w:t xml:space="preserve">Introduction</w:t>
      </w:r>
      <w:bookmarkEnd w:id="21"/>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2008,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have investigated spatial and temporal water quality trends and have shown differences based on scale. Macro-scale (i.e., subcontinental) drivers of water quality trends are complex and may vary temporally</w:t>
      </w:r>
      <w:r>
        <w:t xml:space="preserve"> </w:t>
      </w:r>
      <w:r>
        <w:t xml:space="preserve">(Lottig et al. 2017)</w:t>
      </w:r>
      <w:r>
        <w:t xml:space="preserve">. This complexity can cause nutrient (N and P) trends to have different drivers than ratios of the nutrients</w:t>
      </w:r>
      <w:r>
        <w:t xml:space="preserve"> </w:t>
      </w:r>
      <w:r>
        <w:t xml:space="preserve">(Collins et al. 2017)</w:t>
      </w:r>
      <w:r>
        <w:t xml:space="preserve">. On a regional scale,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w:t>
      </w:r>
      <w:r>
        <w:t xml:space="preserve"> </w:t>
      </w:r>
      <w:r>
        <w:t xml:space="preserve">(Filstrup et al. 2014, 2018)</w:t>
      </w:r>
      <w:r>
        <w:t xml:space="preserve">. Thus, it was surprising when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 of the northeastern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Examining long-term trends in Rhode Island lakes is possible because of the data gathered by University of Rhode Island’s Watershed Watch (URIWW). URIWW is a scientist-led citizen science program founded in the late 1980s that has built a robust collaboration between URI scientists and a vast network of volunteer monitors. Volunteer monitors are trained and then collect</w:t>
      </w:r>
      <w:r>
        <w:t xml:space="preserve"> </w:t>
      </w:r>
      <w:r>
        <w:rPr>
          <w:i/>
        </w:rPr>
        <w:t xml:space="preserve">in situ</w:t>
      </w:r>
      <w:r>
        <w:t xml:space="preserve"> </w:t>
      </w:r>
      <w:r>
        <w:t xml:space="preserve">data as well as whole water samples during the growing season (e.g., May through October). The entire effort follows rigorous quality control/quality assurance protocols. These types of citizen science efforts allow for the collection of reliable data that in turn lead to crucial and frequently unexpected insights</w:t>
      </w:r>
      <w:r>
        <w:t xml:space="preserve"> </w:t>
      </w:r>
      <w:r>
        <w:t xml:space="preserve">(Dickinson et al. 2012, Kosmala et al. 2016, Oliver et al. 2017)</w:t>
      </w:r>
      <w:r>
        <w:t xml:space="preserve">. URIWW data contributed to the larger regional study by Oliver et al. </w:t>
      </w:r>
      <w:r>
        <w:t xml:space="preserve">(2017)</w:t>
      </w:r>
      <w:r>
        <w:t xml:space="preserve">, and, also allowed us to examine the long-term trends specifically in Rhode Island.</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(Soranno et al. 2017, 2019, Stachelek and Oliver 2017, Hollister et al. 2019)</w:t>
      </w:r>
      <w:r>
        <w:t xml:space="preserve">.</w:t>
      </w:r>
    </w:p>
    <w:p>
      <w:pPr>
        <w:pStyle w:val="Heading1"/>
      </w:pPr>
      <w:bookmarkStart w:id="24" w:name="methods"/>
      <w:r>
        <w:t xml:space="preserve">Methods</w:t>
      </w:r>
      <w:bookmarkEnd w:id="24"/>
    </w:p>
    <w:p>
      <w:pPr>
        <w:pStyle w:val="Heading2"/>
      </w:pPr>
      <w:bookmarkStart w:id="25" w:name="study-area-and-data"/>
      <w:r>
        <w:t xml:space="preserve">Study Area and Data</w:t>
      </w:r>
      <w:bookmarkEnd w:id="25"/>
    </w:p>
    <w:p>
      <w:pPr>
        <w:pStyle w:val="FirstParagraph"/>
      </w:pPr>
      <w:r>
        <w:t xml:space="preserve">The study area for this analysis includes lakes and reservoirs in the state of Rhode Island where data were collected by the University of Rhode Island’s Watershed Watch program (Figure 1). The URIWW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sites that matched the following criteria: 1) were sampled between 1993 and 2016, 2) were sampled in May to October, 3) had at least one sampling event in each of May/June, July/August, and September/October, 4) had at least one sampling event from 1993-2004 and 2005-2016, 5) and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60 lakes and reservoirs. Of these sites, our filtered dataset had 58 sites measured for temperature, 58 sites measured for chlorophyll</w:t>
      </w:r>
      <w:r>
        <w:t xml:space="preserve"> </w:t>
      </w:r>
      <w:r>
        <w:rPr>
          <w:i/>
        </w:rPr>
        <w:t xml:space="preserve">a</w:t>
      </w:r>
      <w:r>
        <w:t xml:space="preserve">, 54 sites measured for TN, and 55 sites measured for TP. Of the 60 sampling sites, 51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6">
        <w:r>
          <w:rPr>
            <w:rStyle w:val="Hyperlink"/>
          </w:rPr>
          <w:t xml:space="preserve">https://web.uri.edu/watershedwatch/uri-watershed-watch-monitoring-manuals/</w:t>
        </w:r>
      </w:hyperlink>
      <w:r>
        <w:t xml:space="preserve"> </w:t>
      </w:r>
      <w:r>
        <w:t xml:space="preserve">and</w:t>
      </w:r>
      <w:r>
        <w:t xml:space="preserve"> </w:t>
      </w:r>
      <w:hyperlink r:id="rId27">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that included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 </w:t>
      </w:r>
      <w:r>
        <w:t xml:space="preserve">(2017)</w:t>
      </w:r>
      <w:r>
        <w:t xml:space="preserve">, the LAGOSNE dataset</w:t>
      </w:r>
      <w:r>
        <w:t xml:space="preserve"> </w:t>
      </w:r>
      <w:r>
        <w:t xml:space="preserve">(Soranno et al. 2015, 2017, 2019,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 We used the same selction criteria on the LAGOSNE dataset as was applied to the URIWW data. The LAGOSNE data do not extend beyond 2013 thus sites needed to have a sampling event in 1993-2002 and in 2003-2013.</w:t>
      </w:r>
    </w:p>
    <w:p>
      <w:pPr>
        <w:pStyle w:val="Heading2"/>
      </w:pPr>
      <w:bookmarkStart w:id="28" w:name="water-quality-trend-analysis"/>
      <w:r>
        <w:t xml:space="preserve">Water Quality Trend Analysis</w:t>
      </w:r>
      <w:bookmarkEnd w:id="28"/>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eutrophic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mean over a pre-determined reference period. This allowed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r>
        <w:t xml:space="preserve">.</w:t>
      </w:r>
    </w:p>
    <w:p>
      <w:pPr>
        <w:pStyle w:val="BodyText"/>
      </w:pPr>
      <w:r>
        <w:rPr>
          <w:i/>
        </w:rPr>
        <w:t xml:space="preserve">Summarizing site-specific anomalies:</w:t>
      </w:r>
      <w:r>
        <w:t xml:space="preserve"> </w:t>
      </w:r>
      <w:r>
        <w:t xml:space="preserve">Methods for calculating the site-specific anomalies and the yearly means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(Hollister et al. 2019)</w:t>
      </w:r>
      <w:r>
        <w:t xml:space="preserve">.</w:t>
      </w:r>
    </w:p>
    <w:p>
      <w:pPr>
        <w:pStyle w:val="BodyText"/>
      </w:pPr>
      <w:r>
        <w:t xml:space="preserve">The general steps, outlined in Figure 2 and listed below, are repeated for each of the water quality parameters.</w:t>
      </w:r>
    </w:p>
    <w:p>
      <w:pPr>
        <w:pStyle w:val="Compact"/>
        <w:numPr>
          <w:numId w:val="1001"/>
          <w:ilvl w:val="0"/>
        </w:numPr>
      </w:pPr>
      <w:r>
        <w:t xml:space="preserve">For each site, calculate the annual means, producing a single mean value for each site and year. This step prevents bias from pseudoreplication of multiple measurements of the same site in a given year</w:t>
      </w:r>
      <w:r>
        <w:t xml:space="preserve"> </w:t>
      </w:r>
      <w:r>
        <w:t xml:space="preserve">(Hurlbert 1984)</w:t>
      </w:r>
      <w:r>
        <w:t xml:space="preserve">. The per site means across years are assumed to be independent.</w:t>
      </w:r>
    </w:p>
    <w:p>
      <w:pPr>
        <w:pStyle w:val="Compact"/>
        <w:numPr>
          <w:numId w:val="1001"/>
          <w:ilvl w:val="0"/>
        </w:numPr>
      </w:pPr>
      <w:r>
        <w:t xml:space="preserve">Calculate the long-term reference mean for each site. This results in a single long-term mean for each of the sites.</w:t>
      </w:r>
    </w:p>
    <w:p>
      <w:pPr>
        <w:pStyle w:val="Compact"/>
        <w:numPr>
          <w:numId w:val="1001"/>
          <w:ilvl w:val="0"/>
        </w:numPr>
      </w:pPr>
      <w:r>
        <w:t xml:space="preserve">Calculate the anomaly for each annual mean at each site by subtracting the annual and reference means.</w:t>
      </w:r>
    </w:p>
    <w:p>
      <w:pPr>
        <w:pStyle w:val="Compact"/>
        <w:numPr>
          <w:numId w:val="1001"/>
          <w:ilvl w:val="0"/>
        </w:numPr>
      </w:pPr>
      <w:r>
        <w:t xml:space="preserve">Summarize by calculating the mean anomaly per year for the entire group of sites. The resultant values are analyzed for a trend over time.</w:t>
      </w:r>
    </w:p>
    <w:p>
      <w:pPr>
        <w:pStyle w:val="FirstParagraph"/>
      </w:pPr>
      <w:r>
        <w:t xml:space="preserve">After filtering and summarizing the data some years may not have sufficient number of sites to be included. We chose to include years in the analysis if they had at least three sites, but years with small numbers of sites are rare and only occurred with the nutrient data very early in the time frame of our analysis for the URIWW data(Table 1) and late in the time frame for the LAGOSNE data (Table 2).</w:t>
      </w:r>
    </w:p>
    <w:p>
      <w:pPr>
        <w:pStyle w:val="BodyText"/>
      </w:pPr>
      <w:r>
        <w:rPr>
          <w:i/>
        </w:rPr>
        <w:t xml:space="preserve">Linear regression on annual mean anomalies:</w:t>
      </w:r>
      <w:r>
        <w:t xml:space="preserve"> </w:t>
      </w: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test for positive or negative trends in lake temperature, chlorophyll</w:t>
      </w:r>
      <w:r>
        <w:t xml:space="preserve"> </w:t>
      </w:r>
      <w:r>
        <w:rPr>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mean yearly change of that parameter over the time period studied.</w:t>
      </w:r>
    </w:p>
    <w:p>
      <w:pPr>
        <w:pStyle w:val="BodyText"/>
      </w:pPr>
      <w:r>
        <w:rPr>
          <w:i/>
        </w:rPr>
        <w:t xml:space="preserve">Assessing regressions for trends:</w:t>
      </w:r>
      <w:r>
        <w:t xml:space="preserve"> </w:t>
      </w:r>
      <w:r>
        <w:t xml:space="preserve">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multiple lines of evidence. For this assessment, we are defining a trend as positive or negative with the following; 1) Direction of trend is determined by the sign of the slope, 2) p-value is used to inform interpretation and very small p-values suggest a statistically relevant trend, 3) relative frequency of high and low years in the beginning and end of the time frame, and 4) the magnitude of the slope suggests an ecologically relevant change.</w:t>
      </w:r>
    </w:p>
    <w:p>
      <w:pPr>
        <w:pStyle w:val="BodyText"/>
      </w:pPr>
      <w:r>
        <w:t xml:space="preserve">We recognize that ecologically relevant change is system dependent and no single value will be universally appropriate. We are using several values for this particular assessment, but other values could also be justified. There are various ways to identify important temperature changes in lakes and reservoirs. A policy based approach could examine agreements that attempt to limit temperature increases, such as the Paris Agreement, which aims to limit increases over the next century to 2°C, which would be 0.02°C per year and similarly, the state of Rhode Island criteria for temperature increase is 2.2°C or 0.022°C per year over a century</w:t>
      </w:r>
      <w:r>
        <w:t xml:space="preserve"> </w:t>
      </w:r>
      <w:r>
        <w:t xml:space="preserve">(</w:t>
      </w:r>
      <w:r>
        <w:rPr>
          <w:b/>
        </w:rPr>
        <w:t xml:space="preserve">???</w:t>
      </w:r>
      <w:r>
        <w:t xml:space="preserve">, “Paris agreement” 2015)</w:t>
      </w:r>
      <w:r>
        <w:t xml:space="preserve">. Alternatively, we could look at more ecologically focused temperature changes. For instance, Winder and Schindler</w:t>
      </w:r>
      <w:r>
        <w:t xml:space="preserve"> </w:t>
      </w:r>
      <w:r>
        <w:t xml:space="preserve">(2004)</w:t>
      </w:r>
      <w:r>
        <w:t xml:space="preserve"> </w:t>
      </w:r>
      <w:r>
        <w:t xml:space="preserve">saw disrupted trophic linkages between phytoplankton and zooplankton with 1.39°C over a 40 year data set, or 0.035°C per year. For this study, we will use the 0.02°C per year as it would provide protections against other ecologically relevant changes (e.g. 0.035°C per year for trophic linkages), meet local criteria, and would also be indicative of meeting an important policy goal. For changes in chlorophyll, total phosphorus, and total nitrogen an ecologically meaningful trend is one that would result in a change from an oligotrophic state to a mesotrophic state over the course of a century. We use the values defined by the trophic state limits in Nürnberg</w:t>
      </w:r>
      <w:r>
        <w:t xml:space="preserve"> </w:t>
      </w:r>
      <w:r>
        <w:t xml:space="preserve">(1996)</w:t>
      </w:r>
      <w:r>
        <w:t xml:space="preserve">. For chlorophyll the oligotrophic-mesotrophic limit is 3.5 μg/L and over a century that is 0.035 μg/L per year, for total nitrogen the limit is 350 μg/L, or 3.5 μg/L per year, and the total phosphorus limit is 10 μg/L or 0.1 μg/L per year. This level for total phosphorus would also protect against As we have defined it, slope magnitudes in excess of these per year values will be considered to have an ecologically meaningful trend.</w:t>
      </w:r>
    </w:p>
    <w:p>
      <w:pPr>
        <w:pStyle w:val="BodyText"/>
      </w:pPr>
      <w:r>
        <w:rPr>
          <w:i/>
        </w:rPr>
        <w:t xml:space="preserve">Comparison of Rhode Island to the region:</w:t>
      </w:r>
      <w:r>
        <w:t xml:space="preserve"> </w:t>
      </w:r>
      <w:r>
        <w:t xml:space="preserve">Oliver et al.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p>
      <w:pPr>
        <w:pStyle w:val="BodyText"/>
      </w:pPr>
      <w:r>
        <w:rPr>
          <w:i/>
        </w:rPr>
        <w:t xml:space="preserve">Comparison of trends across trophic state:</w:t>
      </w:r>
      <w:r>
        <w:t xml:space="preserve"> </w:t>
      </w:r>
      <w:r>
        <w:t xml:space="preserve">Just as</w:t>
      </w:r>
    </w:p>
    <w:p>
      <w:pPr>
        <w:pStyle w:val="Heading1"/>
      </w:pPr>
      <w:bookmarkStart w:id="29" w:name="results"/>
      <w:r>
        <w:t xml:space="preserve">Results</w:t>
      </w:r>
      <w:bookmarkEnd w:id="29"/>
    </w:p>
    <w:p>
      <w:pPr>
        <w:pStyle w:val="FirstParagraph"/>
      </w:pPr>
      <w:r>
        <w:t xml:space="preserve">During the period of 1993 to 2016, Rhode Island lakes and reservoirs in our dataset had a mean lake temperature of 22.1 °C, mean TN of 605 µg/l, mean TP of 23 µg/l, mean TN:TP ratio of 85.03 molar, and mean chlorophyll</w:t>
      </w:r>
      <w:r>
        <w:t xml:space="preserve"> </w:t>
      </w:r>
      <w:r>
        <w:rPr>
          <w:i/>
        </w:rPr>
        <w:t xml:space="preserve">a</w:t>
      </w:r>
      <w:r>
        <w:t xml:space="preserve"> </w:t>
      </w:r>
      <w:r>
        <w:t xml:space="preserve">of 9.5 µg/l (Table 3).</w:t>
      </w:r>
    </w:p>
    <w:p>
      <w:pPr>
        <w:pStyle w:val="BodyText"/>
      </w:pPr>
      <w:r>
        <w:t xml:space="preserve">For lakes and reservoirs in the larger region represented by the LAGOSNE States, mean TN was 730 µg/l, mean TP was 31 µg/l, mean TN:TP ratio was 87.56 molar, and mean chlorophyll</w:t>
      </w:r>
      <w:r>
        <w:t xml:space="preserve"> </w:t>
      </w:r>
      <w:r>
        <w:rPr>
          <w:i/>
        </w:rPr>
        <w:t xml:space="preserve">a</w:t>
      </w:r>
      <w:r>
        <w:t xml:space="preserve"> </w:t>
      </w:r>
      <w:r>
        <w:t xml:space="preserve">was 16.1 µg/l (Table 4).</w:t>
      </w:r>
    </w:p>
    <w:p>
      <w:pPr>
        <w:pStyle w:val="Heading2"/>
      </w:pPr>
      <w:bookmarkStart w:id="30" w:name="state-wide-trends-in-water-quality"/>
      <w:r>
        <w:t xml:space="preserve">State-wide trends in water quality</w:t>
      </w:r>
      <w:bookmarkEnd w:id="30"/>
    </w:p>
    <w:p>
      <w:pPr>
        <w:pStyle w:val="FirstParagraph"/>
      </w:pPr>
      <w:r>
        <w:t xml:space="preserve">Mean annual temperature anomalies in lakes and reservoirs appears to be increasing as the slope is greater than the threshold of 0.02 we identified, the p-value suggests a statistical trend (slope = 0.053 , p = 0.0072), and the majority of years with mean temperature greater than the long-term mean are occurring in recent years (Figure 3). Chlorophyll</w:t>
      </w:r>
      <w:r>
        <w:t xml:space="preserve"> </w:t>
      </w:r>
      <w:r>
        <w:rPr>
          <w:i/>
        </w:rPr>
        <w:t xml:space="preserve">a</w:t>
      </w:r>
      <w:r>
        <w:t xml:space="preserve"> </w:t>
      </w:r>
      <w:r>
        <w:t xml:space="preserve">is also showing an increasing trend over time (slope = 0.3 , p = 0.0000003). The slope of 0.3 μg/L is much greater than our threshold of 0.035 μg/L and the above-average years have all occurred in the most recent years (Figure 4A.).</w:t>
      </w:r>
    </w:p>
    <w:p>
      <w:pPr>
        <w:pStyle w:val="BodyText"/>
      </w:pPr>
      <w:r>
        <w:t xml:space="preserve">Mean annual trends for nutrients were not as clear. For total nitrogen, the slope of the line is positive with some statistical support (slope = 2.8 , p = 0.042) and the years greater than the mean are somewhat more frequent in more recent years. However, a slope of 2.8 μg/L per year is lower than our threshold value of 3.5 μg/L suggesting little support for a meaningful ecological change over time (Figure 5A.). We interpret this as a weak positive trend in TN, but with little ecological impact. Total phosphorus shows a positive trend over time in the yearly anomalies but with somewhat weak statistical support (slope = 0.14 , p = 0.079) and years that are over the mean are more common in recent years (Figure 6A.). Also a change of 0.14 μg/L per year is greater than our defined threshold of 0.1 μg/L and suggests a possible trophic state shift in less than a century. The pattern for the TN:TP ratio has a negative slope but no statistical support for a meaningful trend (slope = -0.13, p = 0.81) suggesting little evidence for a change in the concentrations of TN relative to the concentrations of TP (Figure 7A.). Data for all figures are available as a comma-separated values file,</w:t>
      </w:r>
      <w:r>
        <w:t xml:space="preserve"> </w:t>
      </w:r>
      <w:r>
        <w:rPr>
          <w:rStyle w:val="VerbatimChar"/>
        </w:rPr>
        <w:t xml:space="preserve">yearly_average_anomaly.csv</w:t>
      </w:r>
      <w:r>
        <w:t xml:space="preserve"> </w:t>
      </w:r>
      <w:r>
        <w:t xml:space="preserve">from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(Hollister et al. 2019)</w:t>
      </w:r>
      <w:r>
        <w:t xml:space="preserve">.</w:t>
      </w:r>
    </w:p>
    <w:p>
      <w:pPr>
        <w:pStyle w:val="Heading2"/>
      </w:pPr>
      <w:bookmarkStart w:id="31" w:name="regional-trends-in-water-quality"/>
      <w:r>
        <w:t xml:space="preserve">Regional trends in water quality</w:t>
      </w:r>
      <w:bookmarkEnd w:id="31"/>
    </w:p>
    <w:p>
      <w:pPr>
        <w:pStyle w:val="FirstParagraph"/>
      </w:pPr>
      <w:r>
        <w:t xml:space="preserve">In general, there was little evidence to suggest broad regional changes in chlorophyll</w:t>
      </w:r>
      <w:r>
        <w:t xml:space="preserve"> </w:t>
      </w:r>
      <w:r>
        <w:rPr>
          <w:i/>
        </w:rPr>
        <w:t xml:space="preserve">a</w:t>
      </w:r>
      <w:r>
        <w:t xml:space="preserve"> </w:t>
      </w:r>
      <w:r>
        <w:t xml:space="preserve">as it showed a weak positive trend, little statistical support and above average years spread evenly throughout the time period (slope = 0.072, p = 0.34, Figure 4B.). Total phosphorus showed a slight increasing trend as there is statistical support for a positive trend and the slope could result in a trophic state change over the course of a century (slope = 0.18, p = 0.024, Figure 6B.). Much of this trend is driven by the unusually high average anomaly in the last year. Additional years would indicate if this trend has continued at the regional scale. Total nitrogen showed a slight decreasing trend with weak statistical support and less than the 3.5 μg/L that would result in a trophic state change over a century. There is little support for a meaningful trend in TN at the regional scale (slope = -3.1, p = 0.13, Figure 5B.). Lastly, the TN:TP showed little change (slope = -0.11, p = 0.73, Figure 7B.)</w:t>
      </w:r>
    </w:p>
    <w:p>
      <w:pPr>
        <w:pStyle w:val="Heading1"/>
      </w:pPr>
      <w:bookmarkStart w:id="32" w:name="discussion-and-conclusions"/>
      <w:r>
        <w:t xml:space="preserve">Discussion and Conclusions</w:t>
      </w:r>
      <w:bookmarkEnd w:id="32"/>
    </w:p>
    <w:p>
      <w:pPr>
        <w:pStyle w:val="FirstParagraph"/>
      </w:pPr>
      <w:r>
        <w:t xml:space="preserve">Our sub-regional analysis indicates that even when nutrient regimes exhibit relative stability (i.e., neither increasing nor decreasing over time), increases in primary production, as measured by chlorophyll</w:t>
      </w:r>
      <w:r>
        <w:t xml:space="preserve"> </w:t>
      </w:r>
      <w:r>
        <w:rPr>
          <w:i/>
        </w:rPr>
        <w:t xml:space="preserve">a</w:t>
      </w:r>
      <w:r>
        <w:t xml:space="preserve">, can occur. Over the same period we also demonstrate long-term warming of Rhode Island lakes and reservoirs. Chlorophyll has increased, on average, 0.3 μg/L per year over the 23 years of our analysis, while temperature has increased 0.053 °C per year over the same period. While our analysis is not capable of detecting causation, this association between increasing chlorophyll</w:t>
      </w:r>
      <w:r>
        <w:t xml:space="preserve"> </w:t>
      </w:r>
      <w:r>
        <w:rPr>
          <w:i/>
        </w:rPr>
        <w:t xml:space="preserve">a</w:t>
      </w:r>
      <w:r>
        <w:t xml:space="preserve"> </w:t>
      </w:r>
      <w:r>
        <w:t xml:space="preserve">and warming waters is interesting and warrants further exploration to see if increasing chlorophyll</w:t>
      </w:r>
      <w:r>
        <w:t xml:space="preserve"> </w:t>
      </w:r>
      <w:r>
        <w:rPr>
          <w:i/>
        </w:rPr>
        <w:t xml:space="preserve">a</w:t>
      </w:r>
      <w:r>
        <w:t xml:space="preserve"> </w:t>
      </w:r>
      <w:r>
        <w:t xml:space="preserve">can be described by temperature alone. Also, geographic extent does indeed matter when trying to identify long-term water quality trends. Similar to the results of Oliver et al.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p>
      <w:pPr>
        <w:pStyle w:val="Heading2"/>
      </w:pPr>
      <w:bookmarkStart w:id="33" w:name="trends"/>
      <w:r>
        <w:t xml:space="preserve">Trends</w:t>
      </w:r>
      <w:bookmarkEnd w:id="33"/>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while total nutrients and the TN:TP ratio are all relatively stable. While TN showed a weak positive trend, that trend was largely driven by the unusually low years for TN in 1993 and 1994. With those removed the positive trends weakens considerably. The general picture in Rhode Island appears to be one of little to no change in phosphorus, a very weak positive trend in nitrogen and little to no change in the TN:TP ratio. Furthermore, it has been shown that productivity in freshwater systems is likely a function of both phosphorus and nitrogen</w:t>
      </w:r>
      <w:r>
        <w:t xml:space="preserve"> </w:t>
      </w:r>
      <w:r>
        <w:t xml:space="preserve">(Paerl et al. 2016)</w:t>
      </w:r>
      <w:r>
        <w:t xml:space="preserve">. Thus, the increasing chlorophyll</w:t>
      </w:r>
      <w:r>
        <w:t xml:space="preserve"> </w:t>
      </w:r>
      <w:r>
        <w:rPr>
          <w:i/>
        </w:rPr>
        <w:t xml:space="preserve">a</w:t>
      </w:r>
      <w:r>
        <w:t xml:space="preserve"> </w:t>
      </w:r>
      <w:r>
        <w:t xml:space="preserve">in the face of stable TN:TP ratio suggests that the increase is being driven by something other than nutrients.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in many lakes there are still likely sufficient nutrients present to allow for increases in chlorophyll</w:t>
      </w:r>
      <w:r>
        <w:t xml:space="preserve"> </w:t>
      </w:r>
      <w:r>
        <w:rPr>
          <w:i/>
        </w:rPr>
        <w:t xml:space="preserve">a</w:t>
      </w:r>
      <w:r>
        <w:t xml:space="preserve">. Additionally, these results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annualized trends of the five variables we address with this study, there are other trends that may be of interest. For example, trends for water quality at finer temporal scales such as monthly or seasonal trends may be different than the annual trends we analyzed. Anecdotal evidence in Rhode Island points to warmer temperature earlier and later in the year and suggests a lengthening of the growing season. Furthermore, preliminary analysis of the URIWW data back this up with mean temperature for May 1993 to May 1995 cooler by nearly a degree than mean temperature for May 2014 through May 2016. Additionally, it may be possible that the current trophic state of a given waterbody may partly explain the chlorophyll</w:t>
      </w:r>
      <w:r>
        <w:t xml:space="preserve"> </w:t>
      </w:r>
      <w:r>
        <w:rPr>
          <w:i/>
        </w:rPr>
        <w:t xml:space="preserve">a</w:t>
      </w:r>
      <w:r>
        <w:t xml:space="preserve"> </w:t>
      </w:r>
      <w:r>
        <w:t xml:space="preserve">changes in that lake. For instance, are oligotrophic lakes showing stronger trends than eutrophic lakes or are all lakes showing similar trends regardless of current trophic status? Lastly, changes in rainfall, extreme weather events, or other climate mediated factors can also be playing a role in increasing chlorophyll in Rhode Island lakes and reservoirs. These questions are beyond the scope of this study, but all warrant further, careful investigation.</w:t>
      </w:r>
    </w:p>
    <w:p>
      <w:pPr>
        <w:pStyle w:val="Heading2"/>
      </w:pPr>
      <w:bookmarkStart w:id="34" w:name="management-implications"/>
      <w:r>
        <w:t xml:space="preserve">Management implications</w:t>
      </w:r>
      <w:bookmarkEnd w:id="34"/>
    </w:p>
    <w:p>
      <w:pPr>
        <w:pStyle w:val="FirstParagraph"/>
      </w:pPr>
      <w:r>
        <w:t xml:space="preserve">There are several broader management implications from the results of our analysis and of examining long-term water quality trends in general. In particular, this analysis provides much needed information about the long-term effects of current nutrient control efforts at lake-specific and sub-regional scales and identifies areas where additional information is required or a change in management approaches may be needed. First, as more long-term datasets become available, it is important for managers and stakeholders to receive feedback on long-term water quality trends at multiple spatial scales. Specifically for this study, the results provide feedback to long time volunteer monitors, highlighting the importance of volunteer monitoring programs. 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even though the general long-term nutrient trends have been stable. This suggests the need to further reduce nutrients to compensate for warmer water temperatures and possible longer growing seasons.</w:t>
      </w:r>
    </w:p>
    <w:p>
      <w:pPr>
        <w:pStyle w:val="BodyText"/>
      </w:pPr>
      <w:r>
        <w:t xml:space="preserve">There are several possible approaches to further reduce nutrient loads</w:t>
      </w:r>
      <w:r>
        <w:t xml:space="preserve"> </w:t>
      </w:r>
      <w:r>
        <w:t xml:space="preserve">(Yang and Lusk 2018)</w:t>
      </w:r>
      <w:r>
        <w:t xml:space="preserve">. First, nutrient load reductions may be possible through source controls and enhanced entrainment and treatment of ground and surface waters transporting nutrients to receiving waters</w:t>
      </w:r>
      <w:r>
        <w:t xml:space="preserve"> </w:t>
      </w:r>
      <w:r>
        <w:t xml:space="preserve">(Kellogg et al. 2010)</w:t>
      </w:r>
      <w:r>
        <w:t xml:space="preserve">. Green infrastructure approaches are one way to possibly achieve both goals</w:t>
      </w:r>
      <w:r>
        <w:t xml:space="preserve"> </w:t>
      </w:r>
      <w:r>
        <w:t xml:space="preserve">(Pennino et al. 2016, Reisinger et al. 2019)</w:t>
      </w:r>
      <w:r>
        <w:t xml:space="preserve">. Additionally, there is potential for within-lake approaches such as the restoration of freshwater mussels to waterbodies that historically had those species. Some studies using freshwater mussels have shown reductions in both nutrients and algal biomass</w:t>
      </w:r>
      <w:r>
        <w:t xml:space="preserve"> </w:t>
      </w:r>
      <w:r>
        <w:t xml:space="preserve">(Kreeger et al. 2018)</w:t>
      </w:r>
      <w:r>
        <w:t xml:space="preserve">.</w:t>
      </w:r>
    </w:p>
    <w:p>
      <w:pPr>
        <w:pStyle w:val="Heading2"/>
      </w:pPr>
      <w:bookmarkStart w:id="35" w:name="data-analysis-approach"/>
      <w:r>
        <w:t xml:space="preserve">Data analysis approach</w:t>
      </w:r>
      <w:bookmarkEnd w:id="35"/>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new application of the technique, as we could find little evidence of using it specifically for water quality trends. We built on these methods and adapted them for use with long-term water quality trends. While other methods are valid and robust</w:t>
      </w:r>
      <w:r>
        <w:t xml:space="preserve"> </w:t>
      </w:r>
      <w:r>
        <w:t xml:space="preserve">(e.g., Oliver et al. 2017)</w:t>
      </w:r>
      <w:r>
        <w:t xml:space="preserve">, we chose mean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 mean yearly increase of 0.053 °C and the slope of the regression line for chlorophyll</w:t>
      </w:r>
      <w:r>
        <w:t xml:space="preserve"> </w:t>
      </w:r>
      <w:r>
        <w:rPr>
          <w:i/>
        </w:rPr>
        <w:t xml:space="preserve">a</w:t>
      </w:r>
      <w:r>
        <w:t xml:space="preserve"> </w:t>
      </w:r>
      <w:r>
        <w:t xml:space="preserve">shows a mean yearly increase of 0.3 µg/l.</w:t>
      </w:r>
    </w:p>
    <w:p>
      <w:pPr>
        <w:pStyle w:val="BodyText"/>
      </w:pPr>
      <w:r>
        <w:t xml:space="preserve">The site-specific anomalies are also robust to variations in sampling effort and in the timing of inclusion of given sampling locations. For instance, if a site included early in a time period had low values and site included late in the time period, then analyzing the measured values over this time period would show an increase whether or not one existed. Using the site-specific anomalies rescales the values to a common framework and allows the real trend to be seen. We illustrate this with simulated data that have no trend present (Figure 8). The average of the yearly measured values shows a trend (slope = 1 and p-value = 0.000084), whereas the site-specific anomalies correctly showed no trend (slope = -0.023 and p-value = 0.87, Figure 9).</w:t>
      </w:r>
    </w:p>
    <w:p>
      <w:pPr>
        <w:pStyle w:val="BodyText"/>
      </w:pPr>
      <w:r>
        <w:t xml:space="preserve">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pPr>
        <w:pStyle w:val="Heading1"/>
      </w:pPr>
      <w:bookmarkStart w:id="36" w:name="acknowledgments"/>
      <w:r>
        <w:t xml:space="preserve">Acknowledgments</w:t>
      </w:r>
      <w:bookmarkEnd w:id="36"/>
    </w:p>
    <w:p>
      <w:pPr>
        <w:pStyle w:val="FirstParagraph"/>
      </w:pPr>
      <w:r>
        <w:t xml:space="preserve">We would like to thank Anne Kuhn (US EPA, Atlantic Coastal Environmental Sciences Division), Nate Merrill (US EPA, Atlantic Coastal Environmental Sciences Division), Jim Hagy (US EPA, Gulf Ecosystem Measurement and Modeling Division), Joe LiVolsi (US EPA, Atlantic Coastal Environmental Sciences Division), Tim Gleason (US EPA, Atlantic Coastal Environmental Sciences Division), and Wayne Munns (US EPA, Atlantic Coastal Environmental Sciences Division) for constructive reviews of this paper. The URIWW program has received generous support from many different organization over its 25+ year history and we are grateful for this support. In particular, RI DEM and URI’s Cooperative Extension have provided sustained support for the program and deserve special mention. In part, this work was supported by the USDA National Institute of Food and Agriculture, McIntire Stennis project accession no. RI0020-MS984. Lastly,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ORD-032695 of the Atlantic Coastal Environmental Sciences Division, Office of Research and Development, Center for Environmental Measurement and Modeling, US Environmental Protection Agency.</w:t>
      </w:r>
    </w:p>
    <w:p>
      <w:pPr>
        <w:pStyle w:val="Heading1"/>
      </w:pPr>
      <w:bookmarkStart w:id="37" w:name="bibliography"/>
      <w:r>
        <w:t xml:space="preserve">Bibliography</w:t>
      </w:r>
      <w:bookmarkEnd w:id="37"/>
    </w:p>
    <w:bookmarkStart w:id="93" w:name="refs"/>
    <w:bookmarkStart w:id="38"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38"/>
    <w:bookmarkStart w:id="39"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39"/>
    <w:bookmarkStart w:id="40"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0"/>
    <w:bookmarkStart w:id="41"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1"/>
    <w:bookmarkStart w:id="42"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2"/>
    <w:bookmarkStart w:id="43"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43"/>
    <w:bookmarkStart w:id="44" w:name="ref-dodds2008eutrophication"/>
    <w:p>
      <w:pPr>
        <w:pStyle w:val="Bibliography"/>
      </w:pPr>
      <w:r>
        <w:t xml:space="preserve">Dodds, W. K., W. W. Bouska, J. L. Eitzmann, T. J. Pilger, K. L. Pitts, A. J. Riley, J. T. Schloesser, and D. J. Thornbrugh. 2008. Eutrophication of us freshwaters: Analysis of potential economic damages. ACS Publications.</w:t>
      </w:r>
    </w:p>
    <w:bookmarkEnd w:id="44"/>
    <w:bookmarkStart w:id="45" w:name="ref-filippelli2008global"/>
    <w:p>
      <w:pPr>
        <w:pStyle w:val="Bibliography"/>
      </w:pPr>
      <w:r>
        <w:t xml:space="preserve">Filippelli, G. M. 2008. The global phosphorus cycle: Past, present, and future. Elements 4:89–95.</w:t>
      </w:r>
    </w:p>
    <w:bookmarkEnd w:id="45"/>
    <w:bookmarkStart w:id="46"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46"/>
    <w:bookmarkStart w:id="47"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47"/>
    <w:bookmarkStart w:id="48" w:name="ref-finlay2013human"/>
    <w:p>
      <w:pPr>
        <w:pStyle w:val="Bibliography"/>
      </w:pPr>
      <w:r>
        <w:t xml:space="preserve">Finlay, J. C., G. E. Small, and R. W. Sterner. 2013. Human influences on nitrogen removal in lakes. Science 342:247–250.</w:t>
      </w:r>
    </w:p>
    <w:bookmarkEnd w:id="48"/>
    <w:bookmarkStart w:id="49" w:name="ref-hansen2010global"/>
    <w:p>
      <w:pPr>
        <w:pStyle w:val="Bibliography"/>
      </w:pPr>
      <w:r>
        <w:t xml:space="preserve">Hansen, J., R. Ruedy, M. Sato, and K. Lo. 2010. Global surface temperature change. Reviews of Geophysics 48.</w:t>
      </w:r>
    </w:p>
    <w:bookmarkEnd w:id="49"/>
    <w:bookmarkStart w:id="50" w:name="ref-hansen2006global"/>
    <w:p>
      <w:pPr>
        <w:pStyle w:val="Bibliography"/>
      </w:pPr>
      <w:r>
        <w:t xml:space="preserve">Hansen, J., M. Sato, R. Ruedy, K. Lo, D. W. Lea, and M. Medina-Elizade. 2006. Global temperature change. Proceedings of the National Academy of Sciences 103:14288–14293.</w:t>
      </w:r>
    </w:p>
    <w:bookmarkEnd w:id="50"/>
    <w:bookmarkStart w:id="51" w:name="ref-helsel2002statistical"/>
    <w:p>
      <w:pPr>
        <w:pStyle w:val="Bibliography"/>
      </w:pPr>
      <w:r>
        <w:t xml:space="preserve">Helsel, D., and R. Hirsch. 2002. Statistical methods in water resources. Techniques of Water-Resources Investigations Book 4:395.</w:t>
      </w:r>
    </w:p>
    <w:bookmarkEnd w:id="51"/>
    <w:bookmarkStart w:id="52" w:name="ref-herlihy2013using"/>
    <w:p>
      <w:pPr>
        <w:pStyle w:val="Bibliography"/>
      </w:pPr>
      <w:r>
        <w:t xml:space="preserve">Herlihy, A. T., N. C. Kamman, J. C. Sifneos, D. Charles, M. D. Enache, and R. J. Stevenson. 2013. Using multiple approaches to develop nutrient criteria for lakes in the conterminous USA. Freshwater Science 32:367–384.</w:t>
      </w:r>
    </w:p>
    <w:bookmarkEnd w:id="52"/>
    <w:bookmarkStart w:id="53" w:name="ref-zenodo_citation"/>
    <w:p>
      <w:pPr>
        <w:pStyle w:val="Bibliography"/>
      </w:pPr>
      <w:r>
        <w:t xml:space="preserve">Hollister, J. W., D. Q. Kellogg, B. J. Kreakie, S. S. Shivers, B. W. Milstead, E. Herron, L. Green, and A. Gold. 2019. GitHub repository for "increasing chlorophyll *a* amid stable nutrient concentrations in rhode island lakes and reservoirs". Zenodo, https://doi.org/10.5281/zenodo.3662828.</w:t>
      </w:r>
    </w:p>
    <w:bookmarkEnd w:id="53"/>
    <w:bookmarkStart w:id="54" w:name="ref-hollister2016modeling"/>
    <w:p>
      <w:pPr>
        <w:pStyle w:val="Bibliography"/>
      </w:pPr>
      <w:r>
        <w:t xml:space="preserve">Hollister, J. W., W. B. Milstead, and B. J. Kreakie. 2016. Modeling lake trophic state: A random forest approach. Ecosphere 7.</w:t>
      </w:r>
    </w:p>
    <w:bookmarkEnd w:id="54"/>
    <w:bookmarkStart w:id="55" w:name="ref-hurlbert1984pseudoreplication"/>
    <w:p>
      <w:pPr>
        <w:pStyle w:val="Bibliography"/>
      </w:pPr>
      <w:r>
        <w:t xml:space="preserve">Hurlbert, S. H. 1984. Pseudoreplication and the design of ecological field experiments. Ecological monographs 54:187–211.</w:t>
      </w:r>
    </w:p>
    <w:bookmarkEnd w:id="55"/>
    <w:bookmarkStart w:id="56" w:name="ref-jones1999surface"/>
    <w:p>
      <w:pPr>
        <w:pStyle w:val="Bibliography"/>
      </w:pPr>
      <w:r>
        <w:t xml:space="preserve">Jones, P. D., M. New, D. E. Parker, S. Martin, and I. G. Rigor. 1999. Surface air temperature and its changes over the past 150 years. Reviews of Geophysics 37:173–199.</w:t>
      </w:r>
    </w:p>
    <w:bookmarkEnd w:id="56"/>
    <w:bookmarkStart w:id="57"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57"/>
    <w:bookmarkStart w:id="58"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58"/>
    <w:bookmarkStart w:id="59" w:name="ref-kosmala2016assessing"/>
    <w:p>
      <w:pPr>
        <w:pStyle w:val="Bibliography"/>
      </w:pPr>
      <w:r>
        <w:t xml:space="preserve">Kosmala, M., A. Wiggins, A. Swanson, and B. Simmons. 2016. Assessing data quality in citizen science. Frontiers in Ecology and the Environment 14:551–560.</w:t>
      </w:r>
    </w:p>
    <w:bookmarkEnd w:id="59"/>
    <w:bookmarkStart w:id="60"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60"/>
    <w:bookmarkStart w:id="61"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61"/>
    <w:bookmarkStart w:id="62" w:name="ref-litke1999review"/>
    <w:p>
      <w:pPr>
        <w:pStyle w:val="Bibliography"/>
      </w:pPr>
      <w:r>
        <w:t xml:space="preserve">Litke, D. W. 1999. Review of phosphorus control measures in the united states and their effects on water quality. Water-Resources Investigations Report 99:4007.</w:t>
      </w:r>
    </w:p>
    <w:bookmarkEnd w:id="62"/>
    <w:bookmarkStart w:id="63"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63"/>
    <w:bookmarkStart w:id="64"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64"/>
    <w:bookmarkStart w:id="65"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65"/>
    <w:bookmarkStart w:id="66"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66"/>
    <w:bookmarkStart w:id="67" w:name="ref-nojavan2019rethinking"/>
    <w:p>
      <w:pPr>
        <w:pStyle w:val="Bibliography"/>
      </w:pPr>
      <w:r>
        <w:t xml:space="preserve">Nojavan, F., B. J. Kreakie, J. W. Hollister, and S. S. Qian. 2019. Rethinking the lake trophic state index. PeerJ Preprints.</w:t>
      </w:r>
    </w:p>
    <w:bookmarkEnd w:id="67"/>
    <w:bookmarkStart w:id="68" w:name="ref-nurnberg1996trophic"/>
    <w:p>
      <w:pPr>
        <w:pStyle w:val="Bibliography"/>
      </w:pPr>
      <w:r>
        <w:t xml:space="preserve">Nürnberg, G. K. 1996. Trophic state of clear and colored, soft-and hardwater lakes with special consideration of nutrients, anoxia, phytoplankton and fish. Lake and Reservoir Management 12:432–447.</w:t>
      </w:r>
    </w:p>
    <w:bookmarkEnd w:id="68"/>
    <w:bookmarkStart w:id="69"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69"/>
    <w:bookmarkStart w:id="70" w:name="ref-paerl2009climate"/>
    <w:p>
      <w:pPr>
        <w:pStyle w:val="Bibliography"/>
      </w:pPr>
      <w:r>
        <w:t xml:space="preserve">Paerl, H. W., and J. Huisman. 2009. Climate change: A catalyst for global expansion of harmful cyanobacterial blooms. Environmental Microbiology Reports 1:27–37.</w:t>
      </w:r>
    </w:p>
    <w:bookmarkEnd w:id="70"/>
    <w:bookmarkStart w:id="71" w:name="ref-paerl2016takes"/>
    <w:p>
      <w:pPr>
        <w:pStyle w:val="Bibliography"/>
      </w:pPr>
      <w:r>
        <w:t xml:space="preserve">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bookmarkEnd w:id="71"/>
    <w:bookmarkStart w:id="72" w:name="ref-paris"/>
    <w:p>
      <w:pPr>
        <w:pStyle w:val="Bibliography"/>
      </w:pPr>
      <w:r>
        <w:t xml:space="preserve">Paris agreement. 2015, December 12.. UN Treaty, United Nations.</w:t>
      </w:r>
    </w:p>
    <w:bookmarkEnd w:id="72"/>
    <w:bookmarkStart w:id="73"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73"/>
    <w:bookmarkStart w:id="74"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 United States. Ecological Applications 25:943–955.</w:t>
      </w:r>
    </w:p>
    <w:bookmarkEnd w:id="74"/>
    <w:bookmarkStart w:id="75"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75"/>
    <w:bookmarkStart w:id="76" w:name="ref-riphosban1995"/>
    <w:p>
      <w:pPr>
        <w:pStyle w:val="Bibliography"/>
      </w:pPr>
      <w:r>
        <w:t xml:space="preserve">Rhode Island State Legislature. 1995. Phosphate reduction act of 1995.</w:t>
      </w:r>
    </w:p>
    <w:bookmarkEnd w:id="76"/>
    <w:bookmarkStart w:id="77" w:name="ref-schindler2009lakes"/>
    <w:p>
      <w:pPr>
        <w:pStyle w:val="Bibliography"/>
      </w:pPr>
      <w:r>
        <w:t xml:space="preserve">Schindler, D. 2009. Lakes as sentinels and integrators for the effects of climate change on watersheds, airsheds, and landscapes. Limnology and Oceanography 54:2349–2358.</w:t>
      </w:r>
    </w:p>
    <w:bookmarkEnd w:id="77"/>
    <w:bookmarkStart w:id="78"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78"/>
    <w:bookmarkStart w:id="79" w:name="ref-smith2003eutrophication"/>
    <w:p>
      <w:pPr>
        <w:pStyle w:val="Bibliography"/>
      </w:pPr>
      <w:r>
        <w:t xml:space="preserve">Smith, V. H. 2003. Eutrophication of freshwater and coastal marine ecosystems a global problem. Environmental Science and Pollution Research 10:126–139.</w:t>
      </w:r>
    </w:p>
    <w:bookmarkEnd w:id="79"/>
    <w:bookmarkStart w:id="80" w:name="ref-sorannolagosne2017"/>
    <w:p>
      <w:pPr>
        <w:pStyle w:val="Bibliography"/>
      </w:pPr>
      <w:r>
        <w:t xml:space="preserve">Soranno, P. A., L. C. Bacon, M. Beauchene, K. E. Bednar, E. G. Bissell, and al. et. 2017. LAGOS-NE: A multi-scaled geospatial and temporal database of lake ecological context and water quality for thousands of US lakes. Gigascience 6.</w:t>
      </w:r>
    </w:p>
    <w:bookmarkEnd w:id="80"/>
    <w:bookmarkStart w:id="81"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81"/>
    <w:bookmarkStart w:id="82" w:name="ref-sorannolimno2019"/>
    <w:p>
      <w:pPr>
        <w:pStyle w:val="Bibliography"/>
      </w:pPr>
      <w:r>
        <w:t xml:space="preserve">Soranno, P. A., N. R. Lottig, A. D. Delany, and K. S. Cheruvelil. 2019. LAGOS-NE-LIMNO v1.087.3: A module for LAGOS-NE, a multi-scaled geospatial and temporal database of lake ecological context and water quality for thousands of U.S. lakes: 1925-2013 ver 3. Environmental Data Initiative.</w:t>
      </w:r>
    </w:p>
    <w:bookmarkEnd w:id="82"/>
    <w:bookmarkStart w:id="84" w:name="ref-stacheleklagosne2017"/>
    <w:p>
      <w:pPr>
        <w:pStyle w:val="Bibliography"/>
      </w:pPr>
      <w:r>
        <w:t xml:space="preserve">Stachelek, J., and S. Oliver. 2017. LAGOSNE: Interface to the lake multi-scaled geospatial and temporal database, R package version 1.1.0.</w:t>
      </w:r>
      <w:r>
        <w:t xml:space="preserve"> </w:t>
      </w:r>
      <w:hyperlink r:id="rId83">
        <w:r>
          <w:rPr>
            <w:rStyle w:val="Hyperlink"/>
          </w:rPr>
          <w:t xml:space="preserve">https://cran.r-project.org/package=LAGOSNE</w:t>
        </w:r>
      </w:hyperlink>
      <w:r>
        <w:t xml:space="preserve">.</w:t>
      </w:r>
    </w:p>
    <w:bookmarkEnd w:id="84"/>
    <w:bookmarkStart w:id="85"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85"/>
    <w:bookmarkStart w:id="86"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86"/>
    <w:bookmarkStart w:id="87"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87"/>
    <w:bookmarkStart w:id="88" w:name="ref-wasserstein2016asa"/>
    <w:p>
      <w:pPr>
        <w:pStyle w:val="Bibliography"/>
      </w:pPr>
      <w:r>
        <w:t xml:space="preserve">Wasserstein, R. L., N. A. Lazar, and others. 2016. The ASA’s statement on p-values: Context, process, and purpose. The American Statistician 70:129–133.</w:t>
      </w:r>
    </w:p>
    <w:bookmarkEnd w:id="88"/>
    <w:bookmarkStart w:id="89"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89"/>
    <w:bookmarkStart w:id="90" w:name="ref-winder2004climate"/>
    <w:p>
      <w:pPr>
        <w:pStyle w:val="Bibliography"/>
      </w:pPr>
      <w:r>
        <w:t xml:space="preserve">Winder, M., and D. E. Schindler. 2004. Climate change uncouples trophic interactions in an aquatic ecosystem. Ecology 85:2100–2106.</w:t>
      </w:r>
    </w:p>
    <w:bookmarkEnd w:id="90"/>
    <w:bookmarkStart w:id="91" w:name="ref-yang2018nutrients"/>
    <w:p>
      <w:pPr>
        <w:pStyle w:val="Bibliography"/>
      </w:pPr>
      <w:r>
        <w:t xml:space="preserve">Yang, Y.-Y., and M. G. Lusk. 2018. Nutrients in urban stormwater runoff: Current state of the science and potential mitigation options. Current Pollution Reports 4:112–127.</w:t>
      </w:r>
    </w:p>
    <w:bookmarkEnd w:id="91"/>
    <w:bookmarkStart w:id="92"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92"/>
    <w:bookmarkEnd w:id="93"/>
    <w:p>
      <w:pPr>
        <w:pStyle w:val="Heading6"/>
      </w:pPr>
      <w:bookmarkStart w:id="94" w:name="section"/>
      <w:bookmarkEnd w:id="94"/>
    </w:p>
    <w:p>
      <w:pPr>
        <w:pStyle w:val="Heading1"/>
      </w:pPr>
      <w:bookmarkStart w:id="95" w:name="tables"/>
      <w:r>
        <w:t xml:space="preserve">Tables</w:t>
      </w:r>
      <w:bookmarkEnd w:id="95"/>
    </w:p>
    <w:tbl>
      <w:tblPr>
        <w:tblStyle w:val="Table"/>
        <w:tblW w:type="pct" w:w="0.0"/>
        <w:tblLook w:firstRow="1"/>
      </w:tblPr>
      <w:tblGrid/>
      <w:tr>
        <w:trPr>
          <w:cnfStyle w:firstRow="1"/>
        </w:trPr>
        <w:tc>
          <w:tcPr>
            <w:tcBorders>
              <w:bottom w:val="single"/>
            </w:tcBorders>
            <w:vAlign w:val="bottom"/>
          </w:tcPr>
          <w:p>
            <w:pPr>
              <w:pStyle w:val="Compact"/>
              <w:jc w:val="center"/>
            </w:pPr>
            <w:r>
              <w:t xml:space="preserve">year</w:t>
            </w:r>
          </w:p>
        </w:tc>
        <w:tc>
          <w:tcPr>
            <w:tcBorders>
              <w:bottom w:val="single"/>
            </w:tcBorders>
            <w:vAlign w:val="bottom"/>
          </w:tcPr>
          <w:p>
            <w:pPr>
              <w:pStyle w:val="Compact"/>
              <w:jc w:val="center"/>
            </w:pPr>
            <w:r>
              <w:t xml:space="preserve">chla</w:t>
            </w:r>
          </w:p>
        </w:tc>
        <w:tc>
          <w:tcPr>
            <w:tcBorders>
              <w:bottom w:val="single"/>
            </w:tcBorders>
            <w:vAlign w:val="bottom"/>
          </w:tcPr>
          <w:p>
            <w:pPr>
              <w:pStyle w:val="Compact"/>
              <w:jc w:val="center"/>
            </w:pPr>
            <w:r>
              <w:t xml:space="preserve">np_ratio</w:t>
            </w:r>
          </w:p>
        </w:tc>
        <w:tc>
          <w:tcPr>
            <w:tcBorders>
              <w:bottom w:val="single"/>
            </w:tcBorders>
            <w:vAlign w:val="bottom"/>
          </w:tcPr>
          <w:p>
            <w:pPr>
              <w:pStyle w:val="Compact"/>
              <w:jc w:val="center"/>
            </w:pPr>
            <w:r>
              <w:t xml:space="preserve">temp</w:t>
            </w:r>
          </w:p>
        </w:tc>
        <w:tc>
          <w:tcPr>
            <w:tcBorders>
              <w:bottom w:val="single"/>
            </w:tcBorders>
            <w:vAlign w:val="bottom"/>
          </w:tcPr>
          <w:p>
            <w:pPr>
              <w:pStyle w:val="Compact"/>
              <w:jc w:val="center"/>
            </w:pPr>
            <w:r>
              <w:t xml:space="preserve">total_n</w:t>
            </w:r>
          </w:p>
        </w:tc>
        <w:tc>
          <w:tcPr>
            <w:tcBorders>
              <w:bottom w:val="single"/>
            </w:tcBorders>
            <w:vAlign w:val="bottom"/>
          </w:tcPr>
          <w:p>
            <w:pPr>
              <w:pStyle w:val="Compact"/>
              <w:jc w:val="center"/>
            </w:pPr>
            <w:r>
              <w:t xml:space="preserve">total_p</w:t>
            </w:r>
          </w:p>
        </w:tc>
      </w:tr>
      <w:tr>
        <w:tc>
          <w:p>
            <w:pPr>
              <w:pStyle w:val="Compact"/>
              <w:jc w:val="center"/>
            </w:pPr>
            <w:r>
              <w:t xml:space="preserve">1993</w:t>
            </w:r>
          </w:p>
        </w:tc>
        <w:tc>
          <w:p>
            <w:pPr>
              <w:pStyle w:val="Compact"/>
              <w:jc w:val="center"/>
            </w:pPr>
            <w:r>
              <w:t xml:space="preserve">25</w:t>
            </w:r>
          </w:p>
        </w:tc>
        <w:tc>
          <w:p>
            <w:pPr>
              <w:pStyle w:val="Compact"/>
              <w:jc w:val="center"/>
            </w:pPr>
            <w:r>
              <w:t xml:space="preserve">NA</w:t>
            </w:r>
          </w:p>
        </w:tc>
        <w:tc>
          <w:p>
            <w:pPr>
              <w:pStyle w:val="Compact"/>
              <w:jc w:val="center"/>
            </w:pPr>
            <w:r>
              <w:t xml:space="preserve">27</w:t>
            </w:r>
          </w:p>
        </w:tc>
        <w:tc>
          <w:p>
            <w:pPr>
              <w:pStyle w:val="Compact"/>
              <w:jc w:val="center"/>
            </w:pPr>
            <w:r>
              <w:t xml:space="preserve">NA</w:t>
            </w:r>
          </w:p>
        </w:tc>
        <w:tc>
          <w:p>
            <w:pPr>
              <w:pStyle w:val="Compact"/>
              <w:jc w:val="center"/>
            </w:pPr>
            <w:r>
              <w:t xml:space="preserve">NA</w:t>
            </w:r>
          </w:p>
        </w:tc>
      </w:tr>
      <w:tr>
        <w:tc>
          <w:p>
            <w:pPr>
              <w:pStyle w:val="Compact"/>
              <w:jc w:val="center"/>
            </w:pPr>
            <w:r>
              <w:t xml:space="preserve">1994</w:t>
            </w:r>
          </w:p>
        </w:tc>
        <w:tc>
          <w:p>
            <w:pPr>
              <w:pStyle w:val="Compact"/>
              <w:jc w:val="center"/>
            </w:pPr>
            <w:r>
              <w:t xml:space="preserve">38</w:t>
            </w:r>
          </w:p>
        </w:tc>
        <w:tc>
          <w:p>
            <w:pPr>
              <w:pStyle w:val="Compact"/>
              <w:jc w:val="center"/>
            </w:pPr>
            <w:r>
              <w:t xml:space="preserve">29</w:t>
            </w:r>
          </w:p>
        </w:tc>
        <w:tc>
          <w:p>
            <w:pPr>
              <w:pStyle w:val="Compact"/>
              <w:jc w:val="center"/>
            </w:pPr>
            <w:r>
              <w:t xml:space="preserve">38</w:t>
            </w:r>
          </w:p>
        </w:tc>
        <w:tc>
          <w:p>
            <w:pPr>
              <w:pStyle w:val="Compact"/>
              <w:jc w:val="center"/>
            </w:pPr>
            <w:r>
              <w:t xml:space="preserve">29</w:t>
            </w:r>
          </w:p>
        </w:tc>
        <w:tc>
          <w:p>
            <w:pPr>
              <w:pStyle w:val="Compact"/>
              <w:jc w:val="center"/>
            </w:pPr>
            <w:r>
              <w:t xml:space="preserve">36</w:t>
            </w:r>
          </w:p>
        </w:tc>
      </w:tr>
      <w:tr>
        <w:tc>
          <w:p>
            <w:pPr>
              <w:pStyle w:val="Compact"/>
              <w:jc w:val="center"/>
            </w:pPr>
            <w:r>
              <w:t xml:space="preserve">1995</w:t>
            </w:r>
          </w:p>
        </w:tc>
        <w:tc>
          <w:p>
            <w:pPr>
              <w:pStyle w:val="Compact"/>
              <w:jc w:val="center"/>
            </w:pPr>
            <w:r>
              <w:t xml:space="preserve">42</w:t>
            </w:r>
          </w:p>
        </w:tc>
        <w:tc>
          <w:p>
            <w:pPr>
              <w:pStyle w:val="Compact"/>
              <w:jc w:val="center"/>
            </w:pPr>
            <w:r>
              <w:t xml:space="preserve">NA</w:t>
            </w:r>
          </w:p>
        </w:tc>
        <w:tc>
          <w:p>
            <w:pPr>
              <w:pStyle w:val="Compact"/>
              <w:jc w:val="center"/>
            </w:pPr>
            <w:r>
              <w:t xml:space="preserve">42</w:t>
            </w:r>
          </w:p>
        </w:tc>
        <w:tc>
          <w:p>
            <w:pPr>
              <w:pStyle w:val="Compact"/>
              <w:jc w:val="center"/>
            </w:pPr>
            <w:r>
              <w:t xml:space="preserve">NA</w:t>
            </w:r>
          </w:p>
        </w:tc>
        <w:tc>
          <w:p>
            <w:pPr>
              <w:pStyle w:val="Compact"/>
              <w:jc w:val="center"/>
            </w:pPr>
            <w:r>
              <w:t xml:space="preserve">33</w:t>
            </w:r>
          </w:p>
        </w:tc>
      </w:tr>
      <w:tr>
        <w:tc>
          <w:p>
            <w:pPr>
              <w:pStyle w:val="Compact"/>
              <w:jc w:val="center"/>
            </w:pPr>
            <w:r>
              <w:t xml:space="preserve">1996</w:t>
            </w:r>
          </w:p>
        </w:tc>
        <w:tc>
          <w:p>
            <w:pPr>
              <w:pStyle w:val="Compact"/>
              <w:jc w:val="center"/>
            </w:pPr>
            <w:r>
              <w:t xml:space="preserve">47</w:t>
            </w:r>
          </w:p>
        </w:tc>
        <w:tc>
          <w:p>
            <w:pPr>
              <w:pStyle w:val="Compact"/>
              <w:jc w:val="center"/>
            </w:pPr>
            <w:r>
              <w:t xml:space="preserve">NA</w:t>
            </w:r>
          </w:p>
        </w:tc>
        <w:tc>
          <w:p>
            <w:pPr>
              <w:pStyle w:val="Compact"/>
              <w:jc w:val="center"/>
            </w:pPr>
            <w:r>
              <w:t xml:space="preserve">45</w:t>
            </w:r>
          </w:p>
        </w:tc>
        <w:tc>
          <w:p>
            <w:pPr>
              <w:pStyle w:val="Compact"/>
              <w:jc w:val="center"/>
            </w:pPr>
            <w:r>
              <w:t xml:space="preserve">NA</w:t>
            </w:r>
          </w:p>
        </w:tc>
        <w:tc>
          <w:p>
            <w:pPr>
              <w:pStyle w:val="Compact"/>
              <w:jc w:val="center"/>
            </w:pPr>
            <w:r>
              <w:t xml:space="preserve">NA</w:t>
            </w:r>
          </w:p>
        </w:tc>
      </w:tr>
      <w:tr>
        <w:tc>
          <w:p>
            <w:pPr>
              <w:pStyle w:val="Compact"/>
              <w:jc w:val="center"/>
            </w:pPr>
            <w:r>
              <w:t xml:space="preserve">1997</w:t>
            </w:r>
          </w:p>
        </w:tc>
        <w:tc>
          <w:p>
            <w:pPr>
              <w:pStyle w:val="Compact"/>
              <w:jc w:val="center"/>
            </w:pPr>
            <w:r>
              <w:t xml:space="preserve">41</w:t>
            </w:r>
          </w:p>
        </w:tc>
        <w:tc>
          <w:p>
            <w:pPr>
              <w:pStyle w:val="Compact"/>
              <w:jc w:val="center"/>
            </w:pPr>
            <w:r>
              <w:t xml:space="preserve">NA</w:t>
            </w:r>
          </w:p>
        </w:tc>
        <w:tc>
          <w:p>
            <w:pPr>
              <w:pStyle w:val="Compact"/>
              <w:jc w:val="center"/>
            </w:pPr>
            <w:r>
              <w:t xml:space="preserve">43</w:t>
            </w:r>
          </w:p>
        </w:tc>
        <w:tc>
          <w:p>
            <w:pPr>
              <w:pStyle w:val="Compact"/>
              <w:jc w:val="center"/>
            </w:pPr>
            <w:r>
              <w:t xml:space="preserve">NA</w:t>
            </w:r>
          </w:p>
        </w:tc>
        <w:tc>
          <w:p>
            <w:pPr>
              <w:pStyle w:val="Compact"/>
              <w:jc w:val="center"/>
            </w:pPr>
            <w:r>
              <w:t xml:space="preserve">NA</w:t>
            </w:r>
          </w:p>
        </w:tc>
      </w:tr>
      <w:tr>
        <w:tc>
          <w:p>
            <w:pPr>
              <w:pStyle w:val="Compact"/>
              <w:jc w:val="center"/>
            </w:pPr>
            <w:r>
              <w:t xml:space="preserve">1998</w:t>
            </w:r>
          </w:p>
        </w:tc>
        <w:tc>
          <w:p>
            <w:pPr>
              <w:pStyle w:val="Compact"/>
              <w:jc w:val="center"/>
            </w:pPr>
            <w:r>
              <w:t xml:space="preserve">39</w:t>
            </w:r>
          </w:p>
        </w:tc>
        <w:tc>
          <w:p>
            <w:pPr>
              <w:pStyle w:val="Compact"/>
              <w:jc w:val="center"/>
            </w:pPr>
            <w:r>
              <w:t xml:space="preserve">3</w:t>
            </w:r>
          </w:p>
        </w:tc>
        <w:tc>
          <w:p>
            <w:pPr>
              <w:pStyle w:val="Compact"/>
              <w:jc w:val="center"/>
            </w:pPr>
            <w:r>
              <w:t xml:space="preserve">38</w:t>
            </w:r>
          </w:p>
        </w:tc>
        <w:tc>
          <w:p>
            <w:pPr>
              <w:pStyle w:val="Compact"/>
              <w:jc w:val="center"/>
            </w:pPr>
            <w:r>
              <w:t xml:space="preserve">3</w:t>
            </w:r>
          </w:p>
        </w:tc>
        <w:tc>
          <w:p>
            <w:pPr>
              <w:pStyle w:val="Compact"/>
              <w:jc w:val="center"/>
            </w:pPr>
            <w:r>
              <w:t xml:space="preserve">3</w:t>
            </w:r>
          </w:p>
        </w:tc>
      </w:tr>
      <w:tr>
        <w:tc>
          <w:p>
            <w:pPr>
              <w:pStyle w:val="Compact"/>
              <w:jc w:val="center"/>
            </w:pPr>
            <w:r>
              <w:t xml:space="preserve">1999</w:t>
            </w:r>
          </w:p>
        </w:tc>
        <w:tc>
          <w:p>
            <w:pPr>
              <w:pStyle w:val="Compact"/>
              <w:jc w:val="center"/>
            </w:pPr>
            <w:r>
              <w:t xml:space="preserve">42</w:t>
            </w:r>
          </w:p>
        </w:tc>
        <w:tc>
          <w:p>
            <w:pPr>
              <w:pStyle w:val="Compact"/>
              <w:jc w:val="center"/>
            </w:pPr>
            <w:r>
              <w:t xml:space="preserve">38</w:t>
            </w:r>
          </w:p>
        </w:tc>
        <w:tc>
          <w:p>
            <w:pPr>
              <w:pStyle w:val="Compact"/>
              <w:jc w:val="center"/>
            </w:pPr>
            <w:r>
              <w:t xml:space="preserve">43</w:t>
            </w:r>
          </w:p>
        </w:tc>
        <w:tc>
          <w:p>
            <w:pPr>
              <w:pStyle w:val="Compact"/>
              <w:jc w:val="center"/>
            </w:pPr>
            <w:r>
              <w:t xml:space="preserve">39</w:t>
            </w:r>
          </w:p>
        </w:tc>
        <w:tc>
          <w:p>
            <w:pPr>
              <w:pStyle w:val="Compact"/>
              <w:jc w:val="center"/>
            </w:pPr>
            <w:r>
              <w:t xml:space="preserve">43</w:t>
            </w:r>
          </w:p>
        </w:tc>
      </w:tr>
      <w:tr>
        <w:tc>
          <w:p>
            <w:pPr>
              <w:pStyle w:val="Compact"/>
              <w:jc w:val="center"/>
            </w:pPr>
            <w:r>
              <w:t xml:space="preserve">2000</w:t>
            </w:r>
          </w:p>
        </w:tc>
        <w:tc>
          <w:p>
            <w:pPr>
              <w:pStyle w:val="Compact"/>
              <w:jc w:val="center"/>
            </w:pPr>
            <w:r>
              <w:t xml:space="preserve">51</w:t>
            </w:r>
          </w:p>
        </w:tc>
        <w:tc>
          <w:p>
            <w:pPr>
              <w:pStyle w:val="Compact"/>
              <w:jc w:val="center"/>
            </w:pPr>
            <w:r>
              <w:t xml:space="preserve">43</w:t>
            </w:r>
          </w:p>
        </w:tc>
        <w:tc>
          <w:p>
            <w:pPr>
              <w:pStyle w:val="Compact"/>
              <w:jc w:val="center"/>
            </w:pPr>
            <w:r>
              <w:t xml:space="preserve">51</w:t>
            </w:r>
          </w:p>
        </w:tc>
        <w:tc>
          <w:p>
            <w:pPr>
              <w:pStyle w:val="Compact"/>
              <w:jc w:val="center"/>
            </w:pPr>
            <w:r>
              <w:t xml:space="preserve">44</w:t>
            </w:r>
          </w:p>
        </w:tc>
        <w:tc>
          <w:p>
            <w:pPr>
              <w:pStyle w:val="Compact"/>
              <w:jc w:val="center"/>
            </w:pPr>
            <w:r>
              <w:t xml:space="preserve">44</w:t>
            </w:r>
          </w:p>
        </w:tc>
      </w:tr>
      <w:tr>
        <w:tc>
          <w:p>
            <w:pPr>
              <w:pStyle w:val="Compact"/>
              <w:jc w:val="center"/>
            </w:pPr>
            <w:r>
              <w:t xml:space="preserve">2001</w:t>
            </w:r>
          </w:p>
        </w:tc>
        <w:tc>
          <w:p>
            <w:pPr>
              <w:pStyle w:val="Compact"/>
              <w:jc w:val="center"/>
            </w:pPr>
            <w:r>
              <w:t xml:space="preserve">45</w:t>
            </w:r>
          </w:p>
        </w:tc>
        <w:tc>
          <w:p>
            <w:pPr>
              <w:pStyle w:val="Compact"/>
              <w:jc w:val="center"/>
            </w:pPr>
            <w:r>
              <w:t xml:space="preserve">45</w:t>
            </w:r>
          </w:p>
        </w:tc>
        <w:tc>
          <w:p>
            <w:pPr>
              <w:pStyle w:val="Compact"/>
              <w:jc w:val="center"/>
            </w:pPr>
            <w:r>
              <w:t xml:space="preserve">47</w:t>
            </w:r>
          </w:p>
        </w:tc>
        <w:tc>
          <w:p>
            <w:pPr>
              <w:pStyle w:val="Compact"/>
              <w:jc w:val="center"/>
            </w:pPr>
            <w:r>
              <w:t xml:space="preserve">47</w:t>
            </w:r>
          </w:p>
        </w:tc>
        <w:tc>
          <w:p>
            <w:pPr>
              <w:pStyle w:val="Compact"/>
              <w:jc w:val="center"/>
            </w:pPr>
            <w:r>
              <w:t xml:space="preserve">49</w:t>
            </w:r>
          </w:p>
        </w:tc>
      </w:tr>
      <w:tr>
        <w:tc>
          <w:p>
            <w:pPr>
              <w:pStyle w:val="Compact"/>
              <w:jc w:val="center"/>
            </w:pPr>
            <w:r>
              <w:t xml:space="preserve">2002</w:t>
            </w:r>
          </w:p>
        </w:tc>
        <w:tc>
          <w:p>
            <w:pPr>
              <w:pStyle w:val="Compact"/>
              <w:jc w:val="center"/>
            </w:pPr>
            <w:r>
              <w:t xml:space="preserve">48</w:t>
            </w:r>
          </w:p>
        </w:tc>
        <w:tc>
          <w:p>
            <w:pPr>
              <w:pStyle w:val="Compact"/>
              <w:jc w:val="center"/>
            </w:pPr>
            <w:r>
              <w:t xml:space="preserve">45</w:t>
            </w:r>
          </w:p>
        </w:tc>
        <w:tc>
          <w:p>
            <w:pPr>
              <w:pStyle w:val="Compact"/>
              <w:jc w:val="center"/>
            </w:pPr>
            <w:r>
              <w:t xml:space="preserve">48</w:t>
            </w:r>
          </w:p>
        </w:tc>
        <w:tc>
          <w:p>
            <w:pPr>
              <w:pStyle w:val="Compact"/>
              <w:jc w:val="center"/>
            </w:pPr>
            <w:r>
              <w:t xml:space="preserve">45</w:t>
            </w:r>
          </w:p>
        </w:tc>
        <w:tc>
          <w:p>
            <w:pPr>
              <w:pStyle w:val="Compact"/>
              <w:jc w:val="center"/>
            </w:pPr>
            <w:r>
              <w:t xml:space="preserve">45</w:t>
            </w:r>
          </w:p>
        </w:tc>
      </w:tr>
      <w:tr>
        <w:tc>
          <w:p>
            <w:pPr>
              <w:pStyle w:val="Compact"/>
              <w:jc w:val="center"/>
            </w:pPr>
            <w:r>
              <w:t xml:space="preserve">2003</w:t>
            </w:r>
          </w:p>
        </w:tc>
        <w:tc>
          <w:p>
            <w:pPr>
              <w:pStyle w:val="Compact"/>
              <w:jc w:val="center"/>
            </w:pPr>
            <w:r>
              <w:t xml:space="preserve">46</w:t>
            </w:r>
          </w:p>
        </w:tc>
        <w:tc>
          <w:p>
            <w:pPr>
              <w:pStyle w:val="Compact"/>
              <w:jc w:val="center"/>
            </w:pPr>
            <w:r>
              <w:t xml:space="preserve">45</w:t>
            </w:r>
          </w:p>
        </w:tc>
        <w:tc>
          <w:p>
            <w:pPr>
              <w:pStyle w:val="Compact"/>
              <w:jc w:val="center"/>
            </w:pPr>
            <w:r>
              <w:t xml:space="preserve">51</w:t>
            </w:r>
          </w:p>
        </w:tc>
        <w:tc>
          <w:p>
            <w:pPr>
              <w:pStyle w:val="Compact"/>
              <w:jc w:val="center"/>
            </w:pPr>
            <w:r>
              <w:t xml:space="preserve">46</w:t>
            </w:r>
          </w:p>
        </w:tc>
        <w:tc>
          <w:p>
            <w:pPr>
              <w:pStyle w:val="Compact"/>
              <w:jc w:val="center"/>
            </w:pPr>
            <w:r>
              <w:t xml:space="preserve">45</w:t>
            </w:r>
          </w:p>
        </w:tc>
      </w:tr>
      <w:tr>
        <w:tc>
          <w:p>
            <w:pPr>
              <w:pStyle w:val="Compact"/>
              <w:jc w:val="center"/>
            </w:pPr>
            <w:r>
              <w:t xml:space="preserve">2004</w:t>
            </w:r>
          </w:p>
        </w:tc>
        <w:tc>
          <w:p>
            <w:pPr>
              <w:pStyle w:val="Compact"/>
              <w:jc w:val="center"/>
            </w:pPr>
            <w:r>
              <w:t xml:space="preserve">52</w:t>
            </w:r>
          </w:p>
        </w:tc>
        <w:tc>
          <w:p>
            <w:pPr>
              <w:pStyle w:val="Compact"/>
              <w:jc w:val="center"/>
            </w:pPr>
            <w:r>
              <w:t xml:space="preserve">50</w:t>
            </w:r>
          </w:p>
        </w:tc>
        <w:tc>
          <w:p>
            <w:pPr>
              <w:pStyle w:val="Compact"/>
              <w:jc w:val="center"/>
            </w:pPr>
            <w:r>
              <w:t xml:space="preserve">53</w:t>
            </w:r>
          </w:p>
        </w:tc>
        <w:tc>
          <w:p>
            <w:pPr>
              <w:pStyle w:val="Compact"/>
              <w:jc w:val="center"/>
            </w:pPr>
            <w:r>
              <w:t xml:space="preserve">51</w:t>
            </w:r>
          </w:p>
        </w:tc>
        <w:tc>
          <w:p>
            <w:pPr>
              <w:pStyle w:val="Compact"/>
              <w:jc w:val="center"/>
            </w:pPr>
            <w:r>
              <w:t xml:space="preserve">50</w:t>
            </w:r>
          </w:p>
        </w:tc>
      </w:tr>
      <w:tr>
        <w:tc>
          <w:p>
            <w:pPr>
              <w:pStyle w:val="Compact"/>
              <w:jc w:val="center"/>
            </w:pPr>
            <w:r>
              <w:t xml:space="preserve">2005</w:t>
            </w:r>
          </w:p>
        </w:tc>
        <w:tc>
          <w:p>
            <w:pPr>
              <w:pStyle w:val="Compact"/>
              <w:jc w:val="center"/>
            </w:pPr>
            <w:r>
              <w:t xml:space="preserve">49</w:t>
            </w:r>
          </w:p>
        </w:tc>
        <w:tc>
          <w:p>
            <w:pPr>
              <w:pStyle w:val="Compact"/>
              <w:jc w:val="center"/>
            </w:pPr>
            <w:r>
              <w:t xml:space="preserve">44</w:t>
            </w:r>
          </w:p>
        </w:tc>
        <w:tc>
          <w:p>
            <w:pPr>
              <w:pStyle w:val="Compact"/>
              <w:jc w:val="center"/>
            </w:pPr>
            <w:r>
              <w:t xml:space="preserve">50</w:t>
            </w:r>
          </w:p>
        </w:tc>
        <w:tc>
          <w:p>
            <w:pPr>
              <w:pStyle w:val="Compact"/>
              <w:jc w:val="center"/>
            </w:pPr>
            <w:r>
              <w:t xml:space="preserve">45</w:t>
            </w:r>
          </w:p>
        </w:tc>
        <w:tc>
          <w:p>
            <w:pPr>
              <w:pStyle w:val="Compact"/>
              <w:jc w:val="center"/>
            </w:pPr>
            <w:r>
              <w:t xml:space="preserve">46</w:t>
            </w:r>
          </w:p>
        </w:tc>
      </w:tr>
      <w:tr>
        <w:tc>
          <w:p>
            <w:pPr>
              <w:pStyle w:val="Compact"/>
              <w:jc w:val="center"/>
            </w:pPr>
            <w:r>
              <w:t xml:space="preserve">2006</w:t>
            </w:r>
          </w:p>
        </w:tc>
        <w:tc>
          <w:p>
            <w:pPr>
              <w:pStyle w:val="Compact"/>
              <w:jc w:val="center"/>
            </w:pPr>
            <w:r>
              <w:t xml:space="preserve">51</w:t>
            </w:r>
          </w:p>
        </w:tc>
        <w:tc>
          <w:p>
            <w:pPr>
              <w:pStyle w:val="Compact"/>
              <w:jc w:val="center"/>
            </w:pPr>
            <w:r>
              <w:t xml:space="preserve">48</w:t>
            </w:r>
          </w:p>
        </w:tc>
        <w:tc>
          <w:p>
            <w:pPr>
              <w:pStyle w:val="Compact"/>
              <w:jc w:val="center"/>
            </w:pPr>
            <w:r>
              <w:t xml:space="preserve">51</w:t>
            </w:r>
          </w:p>
        </w:tc>
        <w:tc>
          <w:p>
            <w:pPr>
              <w:pStyle w:val="Compact"/>
              <w:jc w:val="center"/>
            </w:pPr>
            <w:r>
              <w:t xml:space="preserve">49</w:t>
            </w:r>
          </w:p>
        </w:tc>
        <w:tc>
          <w:p>
            <w:pPr>
              <w:pStyle w:val="Compact"/>
              <w:jc w:val="center"/>
            </w:pPr>
            <w:r>
              <w:t xml:space="preserve">49</w:t>
            </w:r>
          </w:p>
        </w:tc>
      </w:tr>
      <w:tr>
        <w:tc>
          <w:p>
            <w:pPr>
              <w:pStyle w:val="Compact"/>
              <w:jc w:val="center"/>
            </w:pPr>
            <w:r>
              <w:t xml:space="preserve">2007</w:t>
            </w:r>
          </w:p>
        </w:tc>
        <w:tc>
          <w:p>
            <w:pPr>
              <w:pStyle w:val="Compact"/>
              <w:jc w:val="center"/>
            </w:pPr>
            <w:r>
              <w:t xml:space="preserve">47</w:t>
            </w:r>
          </w:p>
        </w:tc>
        <w:tc>
          <w:p>
            <w:pPr>
              <w:pStyle w:val="Compact"/>
              <w:jc w:val="center"/>
            </w:pPr>
            <w:r>
              <w:t xml:space="preserve">47</w:t>
            </w:r>
          </w:p>
        </w:tc>
        <w:tc>
          <w:p>
            <w:pPr>
              <w:pStyle w:val="Compact"/>
              <w:jc w:val="center"/>
            </w:pPr>
            <w:r>
              <w:t xml:space="preserve">49</w:t>
            </w:r>
          </w:p>
        </w:tc>
        <w:tc>
          <w:p>
            <w:pPr>
              <w:pStyle w:val="Compact"/>
              <w:jc w:val="center"/>
            </w:pPr>
            <w:r>
              <w:t xml:space="preserve">48</w:t>
            </w:r>
          </w:p>
        </w:tc>
        <w:tc>
          <w:p>
            <w:pPr>
              <w:pStyle w:val="Compact"/>
              <w:jc w:val="center"/>
            </w:pPr>
            <w:r>
              <w:t xml:space="preserve">48</w:t>
            </w:r>
          </w:p>
        </w:tc>
      </w:tr>
      <w:tr>
        <w:tc>
          <w:p>
            <w:pPr>
              <w:pStyle w:val="Compact"/>
              <w:jc w:val="center"/>
            </w:pPr>
            <w:r>
              <w:t xml:space="preserve">2008</w:t>
            </w:r>
          </w:p>
        </w:tc>
        <w:tc>
          <w:p>
            <w:pPr>
              <w:pStyle w:val="Compact"/>
              <w:jc w:val="center"/>
            </w:pPr>
            <w:r>
              <w:t xml:space="preserve">53</w:t>
            </w:r>
          </w:p>
        </w:tc>
        <w:tc>
          <w:p>
            <w:pPr>
              <w:pStyle w:val="Compact"/>
              <w:jc w:val="center"/>
            </w:pPr>
            <w:r>
              <w:t xml:space="preserve">51</w:t>
            </w:r>
          </w:p>
        </w:tc>
        <w:tc>
          <w:p>
            <w:pPr>
              <w:pStyle w:val="Compact"/>
              <w:jc w:val="center"/>
            </w:pPr>
            <w:r>
              <w:t xml:space="preserve">53</w:t>
            </w:r>
          </w:p>
        </w:tc>
        <w:tc>
          <w:p>
            <w:pPr>
              <w:pStyle w:val="Compact"/>
              <w:jc w:val="center"/>
            </w:pPr>
            <w:r>
              <w:t xml:space="preserve">52</w:t>
            </w:r>
          </w:p>
        </w:tc>
        <w:tc>
          <w:p>
            <w:pPr>
              <w:pStyle w:val="Compact"/>
              <w:jc w:val="center"/>
            </w:pPr>
            <w:r>
              <w:t xml:space="preserve">52</w:t>
            </w:r>
          </w:p>
        </w:tc>
      </w:tr>
      <w:tr>
        <w:tc>
          <w:p>
            <w:pPr>
              <w:pStyle w:val="Compact"/>
              <w:jc w:val="center"/>
            </w:pPr>
            <w:r>
              <w:t xml:space="preserve">2009</w:t>
            </w:r>
          </w:p>
        </w:tc>
        <w:tc>
          <w:p>
            <w:pPr>
              <w:pStyle w:val="Compact"/>
              <w:jc w:val="center"/>
            </w:pPr>
            <w:r>
              <w:t xml:space="preserve">48</w:t>
            </w:r>
          </w:p>
        </w:tc>
        <w:tc>
          <w:p>
            <w:pPr>
              <w:pStyle w:val="Compact"/>
              <w:jc w:val="center"/>
            </w:pPr>
            <w:r>
              <w:t xml:space="preserve">39</w:t>
            </w:r>
          </w:p>
        </w:tc>
        <w:tc>
          <w:p>
            <w:pPr>
              <w:pStyle w:val="Compact"/>
              <w:jc w:val="center"/>
            </w:pPr>
            <w:r>
              <w:t xml:space="preserve">50</w:t>
            </w:r>
          </w:p>
        </w:tc>
        <w:tc>
          <w:p>
            <w:pPr>
              <w:pStyle w:val="Compact"/>
              <w:jc w:val="center"/>
            </w:pPr>
            <w:r>
              <w:t xml:space="preserve">39</w:t>
            </w:r>
          </w:p>
        </w:tc>
        <w:tc>
          <w:p>
            <w:pPr>
              <w:pStyle w:val="Compact"/>
              <w:jc w:val="center"/>
            </w:pPr>
            <w:r>
              <w:t xml:space="preserve">40</w:t>
            </w:r>
          </w:p>
        </w:tc>
      </w:tr>
      <w:tr>
        <w:tc>
          <w:p>
            <w:pPr>
              <w:pStyle w:val="Compact"/>
              <w:jc w:val="center"/>
            </w:pPr>
            <w:r>
              <w:t xml:space="preserve">2010</w:t>
            </w:r>
          </w:p>
        </w:tc>
        <w:tc>
          <w:p>
            <w:pPr>
              <w:pStyle w:val="Compact"/>
              <w:jc w:val="center"/>
            </w:pPr>
            <w:r>
              <w:t xml:space="preserve">46</w:t>
            </w:r>
          </w:p>
        </w:tc>
        <w:tc>
          <w:p>
            <w:pPr>
              <w:pStyle w:val="Compact"/>
              <w:jc w:val="center"/>
            </w:pPr>
            <w:r>
              <w:t xml:space="preserve">46</w:t>
            </w:r>
          </w:p>
        </w:tc>
        <w:tc>
          <w:p>
            <w:pPr>
              <w:pStyle w:val="Compact"/>
              <w:jc w:val="center"/>
            </w:pPr>
            <w:r>
              <w:t xml:space="preserve">46</w:t>
            </w:r>
          </w:p>
        </w:tc>
        <w:tc>
          <w:p>
            <w:pPr>
              <w:pStyle w:val="Compact"/>
              <w:jc w:val="center"/>
            </w:pPr>
            <w:r>
              <w:t xml:space="preserve">47</w:t>
            </w:r>
          </w:p>
        </w:tc>
        <w:tc>
          <w:p>
            <w:pPr>
              <w:pStyle w:val="Compact"/>
              <w:jc w:val="center"/>
            </w:pPr>
            <w:r>
              <w:t xml:space="preserve">47</w:t>
            </w:r>
          </w:p>
        </w:tc>
      </w:tr>
      <w:tr>
        <w:tc>
          <w:p>
            <w:pPr>
              <w:pStyle w:val="Compact"/>
              <w:jc w:val="center"/>
            </w:pPr>
            <w:r>
              <w:t xml:space="preserve">2011</w:t>
            </w:r>
          </w:p>
        </w:tc>
        <w:tc>
          <w:p>
            <w:pPr>
              <w:pStyle w:val="Compact"/>
              <w:jc w:val="center"/>
            </w:pPr>
            <w:r>
              <w:t xml:space="preserve">51</w:t>
            </w:r>
          </w:p>
        </w:tc>
        <w:tc>
          <w:p>
            <w:pPr>
              <w:pStyle w:val="Compact"/>
              <w:jc w:val="center"/>
            </w:pPr>
            <w:r>
              <w:t xml:space="preserve">48</w:t>
            </w:r>
          </w:p>
        </w:tc>
        <w:tc>
          <w:p>
            <w:pPr>
              <w:pStyle w:val="Compact"/>
              <w:jc w:val="center"/>
            </w:pPr>
            <w:r>
              <w:t xml:space="preserve">49</w:t>
            </w:r>
          </w:p>
        </w:tc>
        <w:tc>
          <w:p>
            <w:pPr>
              <w:pStyle w:val="Compact"/>
              <w:jc w:val="center"/>
            </w:pPr>
            <w:r>
              <w:t xml:space="preserve">49</w:t>
            </w:r>
          </w:p>
        </w:tc>
        <w:tc>
          <w:p>
            <w:pPr>
              <w:pStyle w:val="Compact"/>
              <w:jc w:val="center"/>
            </w:pPr>
            <w:r>
              <w:t xml:space="preserve">49</w:t>
            </w:r>
          </w:p>
        </w:tc>
      </w:tr>
      <w:tr>
        <w:tc>
          <w:p>
            <w:pPr>
              <w:pStyle w:val="Compact"/>
              <w:jc w:val="center"/>
            </w:pPr>
            <w:r>
              <w:t xml:space="preserve">2012</w:t>
            </w:r>
          </w:p>
        </w:tc>
        <w:tc>
          <w:p>
            <w:pPr>
              <w:pStyle w:val="Compact"/>
              <w:jc w:val="center"/>
            </w:pPr>
            <w:r>
              <w:t xml:space="preserve">45</w:t>
            </w:r>
          </w:p>
        </w:tc>
        <w:tc>
          <w:p>
            <w:pPr>
              <w:pStyle w:val="Compact"/>
              <w:jc w:val="center"/>
            </w:pPr>
            <w:r>
              <w:t xml:space="preserve">46</w:t>
            </w:r>
          </w:p>
        </w:tc>
        <w:tc>
          <w:p>
            <w:pPr>
              <w:pStyle w:val="Compact"/>
              <w:jc w:val="center"/>
            </w:pPr>
            <w:r>
              <w:t xml:space="preserve">44</w:t>
            </w:r>
          </w:p>
        </w:tc>
        <w:tc>
          <w:p>
            <w:pPr>
              <w:pStyle w:val="Compact"/>
              <w:jc w:val="center"/>
            </w:pPr>
            <w:r>
              <w:t xml:space="preserve">47</w:t>
            </w:r>
          </w:p>
        </w:tc>
        <w:tc>
          <w:p>
            <w:pPr>
              <w:pStyle w:val="Compact"/>
              <w:jc w:val="center"/>
            </w:pPr>
            <w:r>
              <w:t xml:space="preserve">48</w:t>
            </w:r>
          </w:p>
        </w:tc>
      </w:tr>
      <w:tr>
        <w:tc>
          <w:p>
            <w:pPr>
              <w:pStyle w:val="Compact"/>
              <w:jc w:val="center"/>
            </w:pPr>
            <w:r>
              <w:t xml:space="preserve">2013</w:t>
            </w:r>
          </w:p>
        </w:tc>
        <w:tc>
          <w:p>
            <w:pPr>
              <w:pStyle w:val="Compact"/>
              <w:jc w:val="center"/>
            </w:pPr>
            <w:r>
              <w:t xml:space="preserve">42</w:t>
            </w:r>
          </w:p>
        </w:tc>
        <w:tc>
          <w:p>
            <w:pPr>
              <w:pStyle w:val="Compact"/>
              <w:jc w:val="center"/>
            </w:pPr>
            <w:r>
              <w:t xml:space="preserve">40</w:t>
            </w:r>
          </w:p>
        </w:tc>
        <w:tc>
          <w:p>
            <w:pPr>
              <w:pStyle w:val="Compact"/>
              <w:jc w:val="center"/>
            </w:pPr>
            <w:r>
              <w:t xml:space="preserve">42</w:t>
            </w:r>
          </w:p>
        </w:tc>
        <w:tc>
          <w:p>
            <w:pPr>
              <w:pStyle w:val="Compact"/>
              <w:jc w:val="center"/>
            </w:pPr>
            <w:r>
              <w:t xml:space="preserve">40</w:t>
            </w:r>
          </w:p>
        </w:tc>
        <w:tc>
          <w:p>
            <w:pPr>
              <w:pStyle w:val="Compact"/>
              <w:jc w:val="center"/>
            </w:pPr>
            <w:r>
              <w:t xml:space="preserve">42</w:t>
            </w:r>
          </w:p>
        </w:tc>
      </w:tr>
      <w:tr>
        <w:tc>
          <w:p>
            <w:pPr>
              <w:pStyle w:val="Compact"/>
              <w:jc w:val="center"/>
            </w:pPr>
            <w:r>
              <w:t xml:space="preserve">2014</w:t>
            </w:r>
          </w:p>
        </w:tc>
        <w:tc>
          <w:p>
            <w:pPr>
              <w:pStyle w:val="Compact"/>
              <w:jc w:val="center"/>
            </w:pPr>
            <w:r>
              <w:t xml:space="preserve">44</w:t>
            </w:r>
          </w:p>
        </w:tc>
        <w:tc>
          <w:p>
            <w:pPr>
              <w:pStyle w:val="Compact"/>
              <w:jc w:val="center"/>
            </w:pPr>
            <w:r>
              <w:t xml:space="preserve">39</w:t>
            </w:r>
          </w:p>
        </w:tc>
        <w:tc>
          <w:p>
            <w:pPr>
              <w:pStyle w:val="Compact"/>
              <w:jc w:val="center"/>
            </w:pPr>
            <w:r>
              <w:t xml:space="preserve">44</w:t>
            </w:r>
          </w:p>
        </w:tc>
        <w:tc>
          <w:p>
            <w:pPr>
              <w:pStyle w:val="Compact"/>
              <w:jc w:val="center"/>
            </w:pPr>
            <w:r>
              <w:t xml:space="preserve">39</w:t>
            </w:r>
          </w:p>
        </w:tc>
        <w:tc>
          <w:p>
            <w:pPr>
              <w:pStyle w:val="Compact"/>
              <w:jc w:val="center"/>
            </w:pPr>
            <w:r>
              <w:t xml:space="preserve">41</w:t>
            </w:r>
          </w:p>
        </w:tc>
      </w:tr>
      <w:tr>
        <w:tc>
          <w:p>
            <w:pPr>
              <w:pStyle w:val="Compact"/>
              <w:jc w:val="center"/>
            </w:pPr>
            <w:r>
              <w:t xml:space="preserve">2015</w:t>
            </w:r>
          </w:p>
        </w:tc>
        <w:tc>
          <w:p>
            <w:pPr>
              <w:pStyle w:val="Compact"/>
              <w:jc w:val="center"/>
            </w:pPr>
            <w:r>
              <w:t xml:space="preserve">46</w:t>
            </w:r>
          </w:p>
        </w:tc>
        <w:tc>
          <w:p>
            <w:pPr>
              <w:pStyle w:val="Compact"/>
              <w:jc w:val="center"/>
            </w:pPr>
            <w:r>
              <w:t xml:space="preserve">41</w:t>
            </w:r>
          </w:p>
        </w:tc>
        <w:tc>
          <w:p>
            <w:pPr>
              <w:pStyle w:val="Compact"/>
              <w:jc w:val="center"/>
            </w:pPr>
            <w:r>
              <w:t xml:space="preserve">46</w:t>
            </w:r>
          </w:p>
        </w:tc>
        <w:tc>
          <w:p>
            <w:pPr>
              <w:pStyle w:val="Compact"/>
              <w:jc w:val="center"/>
            </w:pPr>
            <w:r>
              <w:t xml:space="preserve">41</w:t>
            </w:r>
          </w:p>
        </w:tc>
        <w:tc>
          <w:p>
            <w:pPr>
              <w:pStyle w:val="Compact"/>
              <w:jc w:val="center"/>
            </w:pPr>
            <w:r>
              <w:t xml:space="preserve">43</w:t>
            </w:r>
          </w:p>
        </w:tc>
      </w:tr>
      <w:tr>
        <w:tc>
          <w:p>
            <w:pPr>
              <w:pStyle w:val="Compact"/>
              <w:jc w:val="center"/>
            </w:pPr>
            <w:r>
              <w:t xml:space="preserve">2016</w:t>
            </w:r>
          </w:p>
        </w:tc>
        <w:tc>
          <w:p>
            <w:pPr>
              <w:pStyle w:val="Compact"/>
              <w:jc w:val="center"/>
            </w:pPr>
            <w:r>
              <w:t xml:space="preserve">45</w:t>
            </w:r>
          </w:p>
        </w:tc>
        <w:tc>
          <w:p>
            <w:pPr>
              <w:pStyle w:val="Compact"/>
              <w:jc w:val="center"/>
            </w:pPr>
            <w:r>
              <w:t xml:space="preserve">42</w:t>
            </w:r>
          </w:p>
        </w:tc>
        <w:tc>
          <w:p>
            <w:pPr>
              <w:pStyle w:val="Compact"/>
              <w:jc w:val="center"/>
            </w:pPr>
            <w:r>
              <w:t xml:space="preserve">47</w:t>
            </w:r>
          </w:p>
        </w:tc>
        <w:tc>
          <w:p>
            <w:pPr>
              <w:pStyle w:val="Compact"/>
              <w:jc w:val="center"/>
            </w:pPr>
            <w:r>
              <w:t xml:space="preserve">42</w:t>
            </w:r>
          </w:p>
        </w:tc>
        <w:tc>
          <w:p>
            <w:pPr>
              <w:pStyle w:val="Compact"/>
              <w:jc w:val="center"/>
            </w:pPr>
            <w:r>
              <w:t xml:space="preserve">44</w:t>
            </w:r>
          </w:p>
        </w:tc>
      </w:tr>
    </w:tbl>
    <w:p>
      <w:pPr>
        <w:pStyle w:val="BodyText"/>
      </w:pPr>
      <w:r>
        <w:t xml:space="preserve">Table 1: Number of URIWW sites available for trend analysis by parameter and year.</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year</w:t>
            </w:r>
          </w:p>
        </w:tc>
        <w:tc>
          <w:tcPr>
            <w:tcBorders>
              <w:bottom w:val="single"/>
            </w:tcBorders>
            <w:vAlign w:val="bottom"/>
          </w:tcPr>
          <w:p>
            <w:pPr>
              <w:pStyle w:val="Compact"/>
              <w:jc w:val="center"/>
            </w:pPr>
            <w:r>
              <w:t xml:space="preserve">chla</w:t>
            </w:r>
          </w:p>
        </w:tc>
        <w:tc>
          <w:tcPr>
            <w:tcBorders>
              <w:bottom w:val="single"/>
            </w:tcBorders>
            <w:vAlign w:val="bottom"/>
          </w:tcPr>
          <w:p>
            <w:pPr>
              <w:pStyle w:val="Compact"/>
              <w:jc w:val="center"/>
            </w:pPr>
            <w:r>
              <w:t xml:space="preserve">np_ratio</w:t>
            </w:r>
          </w:p>
        </w:tc>
        <w:tc>
          <w:tcPr>
            <w:tcBorders>
              <w:bottom w:val="single"/>
            </w:tcBorders>
            <w:vAlign w:val="bottom"/>
          </w:tcPr>
          <w:p>
            <w:pPr>
              <w:pStyle w:val="Compact"/>
              <w:jc w:val="center"/>
            </w:pPr>
            <w:r>
              <w:t xml:space="preserve">total_n</w:t>
            </w:r>
          </w:p>
        </w:tc>
        <w:tc>
          <w:tcPr>
            <w:tcBorders>
              <w:bottom w:val="single"/>
            </w:tcBorders>
            <w:vAlign w:val="bottom"/>
          </w:tcPr>
          <w:p>
            <w:pPr>
              <w:pStyle w:val="Compact"/>
              <w:jc w:val="center"/>
            </w:pPr>
            <w:r>
              <w:t xml:space="preserve">total_p</w:t>
            </w:r>
          </w:p>
        </w:tc>
      </w:tr>
      <w:tr>
        <w:tc>
          <w:p>
            <w:pPr>
              <w:pStyle w:val="Compact"/>
              <w:jc w:val="center"/>
            </w:pPr>
            <w:r>
              <w:t xml:space="preserve">1993</w:t>
            </w:r>
          </w:p>
        </w:tc>
        <w:tc>
          <w:p>
            <w:pPr>
              <w:pStyle w:val="Compact"/>
              <w:jc w:val="center"/>
            </w:pPr>
            <w:r>
              <w:t xml:space="preserve">110</w:t>
            </w:r>
          </w:p>
        </w:tc>
        <w:tc>
          <w:p>
            <w:pPr>
              <w:pStyle w:val="Compact"/>
              <w:jc w:val="center"/>
            </w:pPr>
            <w:r>
              <w:t xml:space="preserve">19</w:t>
            </w:r>
          </w:p>
        </w:tc>
        <w:tc>
          <w:p>
            <w:pPr>
              <w:pStyle w:val="Compact"/>
              <w:jc w:val="center"/>
            </w:pPr>
            <w:r>
              <w:t xml:space="preserve">21</w:t>
            </w:r>
          </w:p>
        </w:tc>
        <w:tc>
          <w:p>
            <w:pPr>
              <w:pStyle w:val="Compact"/>
              <w:jc w:val="center"/>
            </w:pPr>
            <w:r>
              <w:t xml:space="preserve">128</w:t>
            </w:r>
          </w:p>
        </w:tc>
      </w:tr>
      <w:tr>
        <w:tc>
          <w:p>
            <w:pPr>
              <w:pStyle w:val="Compact"/>
              <w:jc w:val="center"/>
            </w:pPr>
            <w:r>
              <w:t xml:space="preserve">1994</w:t>
            </w:r>
          </w:p>
        </w:tc>
        <w:tc>
          <w:p>
            <w:pPr>
              <w:pStyle w:val="Compact"/>
              <w:jc w:val="center"/>
            </w:pPr>
            <w:r>
              <w:t xml:space="preserve">137</w:t>
            </w:r>
          </w:p>
        </w:tc>
        <w:tc>
          <w:p>
            <w:pPr>
              <w:pStyle w:val="Compact"/>
              <w:jc w:val="center"/>
            </w:pPr>
            <w:r>
              <w:t xml:space="preserve">35</w:t>
            </w:r>
          </w:p>
        </w:tc>
        <w:tc>
          <w:p>
            <w:pPr>
              <w:pStyle w:val="Compact"/>
              <w:jc w:val="center"/>
            </w:pPr>
            <w:r>
              <w:t xml:space="preserve">40</w:t>
            </w:r>
          </w:p>
        </w:tc>
        <w:tc>
          <w:p>
            <w:pPr>
              <w:pStyle w:val="Compact"/>
              <w:jc w:val="center"/>
            </w:pPr>
            <w:r>
              <w:t xml:space="preserve">162</w:t>
            </w:r>
          </w:p>
        </w:tc>
      </w:tr>
      <w:tr>
        <w:tc>
          <w:p>
            <w:pPr>
              <w:pStyle w:val="Compact"/>
              <w:jc w:val="center"/>
            </w:pPr>
            <w:r>
              <w:t xml:space="preserve">1995</w:t>
            </w:r>
          </w:p>
        </w:tc>
        <w:tc>
          <w:p>
            <w:pPr>
              <w:pStyle w:val="Compact"/>
              <w:jc w:val="center"/>
            </w:pPr>
            <w:r>
              <w:t xml:space="preserve">132</w:t>
            </w:r>
          </w:p>
        </w:tc>
        <w:tc>
          <w:p>
            <w:pPr>
              <w:pStyle w:val="Compact"/>
              <w:jc w:val="center"/>
            </w:pPr>
            <w:r>
              <w:t xml:space="preserve">21</w:t>
            </w:r>
          </w:p>
        </w:tc>
        <w:tc>
          <w:p>
            <w:pPr>
              <w:pStyle w:val="Compact"/>
              <w:jc w:val="center"/>
            </w:pPr>
            <w:r>
              <w:t xml:space="preserve">21</w:t>
            </w:r>
          </w:p>
        </w:tc>
        <w:tc>
          <w:p>
            <w:pPr>
              <w:pStyle w:val="Compact"/>
              <w:jc w:val="center"/>
            </w:pPr>
            <w:r>
              <w:t xml:space="preserve">156</w:t>
            </w:r>
          </w:p>
        </w:tc>
      </w:tr>
      <w:tr>
        <w:tc>
          <w:p>
            <w:pPr>
              <w:pStyle w:val="Compact"/>
              <w:jc w:val="center"/>
            </w:pPr>
            <w:r>
              <w:t xml:space="preserve">1996</w:t>
            </w:r>
          </w:p>
        </w:tc>
        <w:tc>
          <w:p>
            <w:pPr>
              <w:pStyle w:val="Compact"/>
              <w:jc w:val="center"/>
            </w:pPr>
            <w:r>
              <w:t xml:space="preserve">146</w:t>
            </w:r>
          </w:p>
        </w:tc>
        <w:tc>
          <w:p>
            <w:pPr>
              <w:pStyle w:val="Compact"/>
              <w:jc w:val="center"/>
            </w:pPr>
            <w:r>
              <w:t xml:space="preserve">27</w:t>
            </w:r>
          </w:p>
        </w:tc>
        <w:tc>
          <w:p>
            <w:pPr>
              <w:pStyle w:val="Compact"/>
              <w:jc w:val="center"/>
            </w:pPr>
            <w:r>
              <w:t xml:space="preserve">28</w:t>
            </w:r>
          </w:p>
        </w:tc>
        <w:tc>
          <w:p>
            <w:pPr>
              <w:pStyle w:val="Compact"/>
              <w:jc w:val="center"/>
            </w:pPr>
            <w:r>
              <w:t xml:space="preserve">177</w:t>
            </w:r>
          </w:p>
        </w:tc>
      </w:tr>
      <w:tr>
        <w:tc>
          <w:p>
            <w:pPr>
              <w:pStyle w:val="Compact"/>
              <w:jc w:val="center"/>
            </w:pPr>
            <w:r>
              <w:t xml:space="preserve">1997</w:t>
            </w:r>
          </w:p>
        </w:tc>
        <w:tc>
          <w:p>
            <w:pPr>
              <w:pStyle w:val="Compact"/>
              <w:jc w:val="center"/>
            </w:pPr>
            <w:r>
              <w:t xml:space="preserve">149</w:t>
            </w:r>
          </w:p>
        </w:tc>
        <w:tc>
          <w:p>
            <w:pPr>
              <w:pStyle w:val="Compact"/>
              <w:jc w:val="center"/>
            </w:pPr>
            <w:r>
              <w:t xml:space="preserve">47</w:t>
            </w:r>
          </w:p>
        </w:tc>
        <w:tc>
          <w:p>
            <w:pPr>
              <w:pStyle w:val="Compact"/>
              <w:jc w:val="center"/>
            </w:pPr>
            <w:r>
              <w:t xml:space="preserve">50</w:t>
            </w:r>
          </w:p>
        </w:tc>
        <w:tc>
          <w:p>
            <w:pPr>
              <w:pStyle w:val="Compact"/>
              <w:jc w:val="center"/>
            </w:pPr>
            <w:r>
              <w:t xml:space="preserve">200</w:t>
            </w:r>
          </w:p>
        </w:tc>
      </w:tr>
      <w:tr>
        <w:tc>
          <w:p>
            <w:pPr>
              <w:pStyle w:val="Compact"/>
              <w:jc w:val="center"/>
            </w:pPr>
            <w:r>
              <w:t xml:space="preserve">1998</w:t>
            </w:r>
          </w:p>
        </w:tc>
        <w:tc>
          <w:p>
            <w:pPr>
              <w:pStyle w:val="Compact"/>
              <w:jc w:val="center"/>
            </w:pPr>
            <w:r>
              <w:t xml:space="preserve">164</w:t>
            </w:r>
          </w:p>
        </w:tc>
        <w:tc>
          <w:p>
            <w:pPr>
              <w:pStyle w:val="Compact"/>
              <w:jc w:val="center"/>
            </w:pPr>
            <w:r>
              <w:t xml:space="preserve">26</w:t>
            </w:r>
          </w:p>
        </w:tc>
        <w:tc>
          <w:p>
            <w:pPr>
              <w:pStyle w:val="Compact"/>
              <w:jc w:val="center"/>
            </w:pPr>
            <w:r>
              <w:t xml:space="preserve">30</w:t>
            </w:r>
          </w:p>
        </w:tc>
        <w:tc>
          <w:p>
            <w:pPr>
              <w:pStyle w:val="Compact"/>
              <w:jc w:val="center"/>
            </w:pPr>
            <w:r>
              <w:t xml:space="preserve">155</w:t>
            </w:r>
          </w:p>
        </w:tc>
      </w:tr>
      <w:tr>
        <w:tc>
          <w:p>
            <w:pPr>
              <w:pStyle w:val="Compact"/>
              <w:jc w:val="center"/>
            </w:pPr>
            <w:r>
              <w:t xml:space="preserve">1999</w:t>
            </w:r>
          </w:p>
        </w:tc>
        <w:tc>
          <w:p>
            <w:pPr>
              <w:pStyle w:val="Compact"/>
              <w:jc w:val="center"/>
            </w:pPr>
            <w:r>
              <w:t xml:space="preserve">378</w:t>
            </w:r>
          </w:p>
        </w:tc>
        <w:tc>
          <w:p>
            <w:pPr>
              <w:pStyle w:val="Compact"/>
              <w:jc w:val="center"/>
            </w:pPr>
            <w:r>
              <w:t xml:space="preserve">47</w:t>
            </w:r>
          </w:p>
        </w:tc>
        <w:tc>
          <w:p>
            <w:pPr>
              <w:pStyle w:val="Compact"/>
              <w:jc w:val="center"/>
            </w:pPr>
            <w:r>
              <w:t xml:space="preserve">69</w:t>
            </w:r>
          </w:p>
        </w:tc>
        <w:tc>
          <w:p>
            <w:pPr>
              <w:pStyle w:val="Compact"/>
              <w:jc w:val="center"/>
            </w:pPr>
            <w:r>
              <w:t xml:space="preserve">216</w:t>
            </w:r>
          </w:p>
        </w:tc>
      </w:tr>
      <w:tr>
        <w:tc>
          <w:p>
            <w:pPr>
              <w:pStyle w:val="Compact"/>
              <w:jc w:val="center"/>
            </w:pPr>
            <w:r>
              <w:t xml:space="preserve">2000</w:t>
            </w:r>
          </w:p>
        </w:tc>
        <w:tc>
          <w:p>
            <w:pPr>
              <w:pStyle w:val="Compact"/>
              <w:jc w:val="center"/>
            </w:pPr>
            <w:r>
              <w:t xml:space="preserve">422</w:t>
            </w:r>
          </w:p>
        </w:tc>
        <w:tc>
          <w:p>
            <w:pPr>
              <w:pStyle w:val="Compact"/>
              <w:jc w:val="center"/>
            </w:pPr>
            <w:r>
              <w:t xml:space="preserve">42</w:t>
            </w:r>
          </w:p>
        </w:tc>
        <w:tc>
          <w:p>
            <w:pPr>
              <w:pStyle w:val="Compact"/>
              <w:jc w:val="center"/>
            </w:pPr>
            <w:r>
              <w:t xml:space="preserve">59</w:t>
            </w:r>
          </w:p>
        </w:tc>
        <w:tc>
          <w:p>
            <w:pPr>
              <w:pStyle w:val="Compact"/>
              <w:jc w:val="center"/>
            </w:pPr>
            <w:r>
              <w:t xml:space="preserve">222</w:t>
            </w:r>
          </w:p>
        </w:tc>
      </w:tr>
      <w:tr>
        <w:tc>
          <w:p>
            <w:pPr>
              <w:pStyle w:val="Compact"/>
              <w:jc w:val="center"/>
            </w:pPr>
            <w:r>
              <w:t xml:space="preserve">2001</w:t>
            </w:r>
          </w:p>
        </w:tc>
        <w:tc>
          <w:p>
            <w:pPr>
              <w:pStyle w:val="Compact"/>
              <w:jc w:val="center"/>
            </w:pPr>
            <w:r>
              <w:t xml:space="preserve">401</w:t>
            </w:r>
          </w:p>
        </w:tc>
        <w:tc>
          <w:p>
            <w:pPr>
              <w:pStyle w:val="Compact"/>
              <w:jc w:val="center"/>
            </w:pPr>
            <w:r>
              <w:t xml:space="preserve">46</w:t>
            </w:r>
          </w:p>
        </w:tc>
        <w:tc>
          <w:p>
            <w:pPr>
              <w:pStyle w:val="Compact"/>
              <w:jc w:val="center"/>
            </w:pPr>
            <w:r>
              <w:t xml:space="preserve">68</w:t>
            </w:r>
          </w:p>
        </w:tc>
        <w:tc>
          <w:p>
            <w:pPr>
              <w:pStyle w:val="Compact"/>
              <w:jc w:val="center"/>
            </w:pPr>
            <w:r>
              <w:t xml:space="preserve">237</w:t>
            </w:r>
          </w:p>
        </w:tc>
      </w:tr>
      <w:tr>
        <w:tc>
          <w:p>
            <w:pPr>
              <w:pStyle w:val="Compact"/>
              <w:jc w:val="center"/>
            </w:pPr>
            <w:r>
              <w:t xml:space="preserve">2002</w:t>
            </w:r>
          </w:p>
        </w:tc>
        <w:tc>
          <w:p>
            <w:pPr>
              <w:pStyle w:val="Compact"/>
              <w:jc w:val="center"/>
            </w:pPr>
            <w:r>
              <w:t xml:space="preserve">453</w:t>
            </w:r>
          </w:p>
        </w:tc>
        <w:tc>
          <w:p>
            <w:pPr>
              <w:pStyle w:val="Compact"/>
              <w:jc w:val="center"/>
            </w:pPr>
            <w:r>
              <w:t xml:space="preserve">38</w:t>
            </w:r>
          </w:p>
        </w:tc>
        <w:tc>
          <w:p>
            <w:pPr>
              <w:pStyle w:val="Compact"/>
              <w:jc w:val="center"/>
            </w:pPr>
            <w:r>
              <w:t xml:space="preserve">69</w:t>
            </w:r>
          </w:p>
        </w:tc>
        <w:tc>
          <w:p>
            <w:pPr>
              <w:pStyle w:val="Compact"/>
              <w:jc w:val="center"/>
            </w:pPr>
            <w:r>
              <w:t xml:space="preserve">211</w:t>
            </w:r>
          </w:p>
        </w:tc>
      </w:tr>
      <w:tr>
        <w:tc>
          <w:p>
            <w:pPr>
              <w:pStyle w:val="Compact"/>
              <w:jc w:val="center"/>
            </w:pPr>
            <w:r>
              <w:t xml:space="preserve">2003</w:t>
            </w:r>
          </w:p>
        </w:tc>
        <w:tc>
          <w:p>
            <w:pPr>
              <w:pStyle w:val="Compact"/>
              <w:jc w:val="center"/>
            </w:pPr>
            <w:r>
              <w:t xml:space="preserve">459</w:t>
            </w:r>
          </w:p>
        </w:tc>
        <w:tc>
          <w:p>
            <w:pPr>
              <w:pStyle w:val="Compact"/>
              <w:jc w:val="center"/>
            </w:pPr>
            <w:r>
              <w:t xml:space="preserve">46</w:t>
            </w:r>
          </w:p>
        </w:tc>
        <w:tc>
          <w:p>
            <w:pPr>
              <w:pStyle w:val="Compact"/>
              <w:jc w:val="center"/>
            </w:pPr>
            <w:r>
              <w:t xml:space="preserve">72</w:t>
            </w:r>
          </w:p>
        </w:tc>
        <w:tc>
          <w:p>
            <w:pPr>
              <w:pStyle w:val="Compact"/>
              <w:jc w:val="center"/>
            </w:pPr>
            <w:r>
              <w:t xml:space="preserve">231</w:t>
            </w:r>
          </w:p>
        </w:tc>
      </w:tr>
      <w:tr>
        <w:tc>
          <w:p>
            <w:pPr>
              <w:pStyle w:val="Compact"/>
              <w:jc w:val="center"/>
            </w:pPr>
            <w:r>
              <w:t xml:space="preserve">2004</w:t>
            </w:r>
          </w:p>
        </w:tc>
        <w:tc>
          <w:p>
            <w:pPr>
              <w:pStyle w:val="Compact"/>
              <w:jc w:val="center"/>
            </w:pPr>
            <w:r>
              <w:t xml:space="preserve">479</w:t>
            </w:r>
          </w:p>
        </w:tc>
        <w:tc>
          <w:p>
            <w:pPr>
              <w:pStyle w:val="Compact"/>
              <w:jc w:val="center"/>
            </w:pPr>
            <w:r>
              <w:t xml:space="preserve">26</w:t>
            </w:r>
          </w:p>
        </w:tc>
        <w:tc>
          <w:p>
            <w:pPr>
              <w:pStyle w:val="Compact"/>
              <w:jc w:val="center"/>
            </w:pPr>
            <w:r>
              <w:t xml:space="preserve">48</w:t>
            </w:r>
          </w:p>
        </w:tc>
        <w:tc>
          <w:p>
            <w:pPr>
              <w:pStyle w:val="Compact"/>
              <w:jc w:val="center"/>
            </w:pPr>
            <w:r>
              <w:t xml:space="preserve">235</w:t>
            </w:r>
          </w:p>
        </w:tc>
      </w:tr>
      <w:tr>
        <w:tc>
          <w:p>
            <w:pPr>
              <w:pStyle w:val="Compact"/>
              <w:jc w:val="center"/>
            </w:pPr>
            <w:r>
              <w:t xml:space="preserve">2005</w:t>
            </w:r>
          </w:p>
        </w:tc>
        <w:tc>
          <w:p>
            <w:pPr>
              <w:pStyle w:val="Compact"/>
              <w:jc w:val="center"/>
            </w:pPr>
            <w:r>
              <w:t xml:space="preserve">496</w:t>
            </w:r>
          </w:p>
        </w:tc>
        <w:tc>
          <w:p>
            <w:pPr>
              <w:pStyle w:val="Compact"/>
              <w:jc w:val="center"/>
            </w:pPr>
            <w:r>
              <w:t xml:space="preserve">49</w:t>
            </w:r>
          </w:p>
        </w:tc>
        <w:tc>
          <w:p>
            <w:pPr>
              <w:pStyle w:val="Compact"/>
              <w:jc w:val="center"/>
            </w:pPr>
            <w:r>
              <w:t xml:space="preserve">76</w:t>
            </w:r>
          </w:p>
        </w:tc>
        <w:tc>
          <w:p>
            <w:pPr>
              <w:pStyle w:val="Compact"/>
              <w:jc w:val="center"/>
            </w:pPr>
            <w:r>
              <w:t xml:space="preserve">235</w:t>
            </w:r>
          </w:p>
        </w:tc>
      </w:tr>
      <w:tr>
        <w:tc>
          <w:p>
            <w:pPr>
              <w:pStyle w:val="Compact"/>
              <w:jc w:val="center"/>
            </w:pPr>
            <w:r>
              <w:t xml:space="preserve">2006</w:t>
            </w:r>
          </w:p>
        </w:tc>
        <w:tc>
          <w:p>
            <w:pPr>
              <w:pStyle w:val="Compact"/>
              <w:jc w:val="center"/>
            </w:pPr>
            <w:r>
              <w:t xml:space="preserve">482</w:t>
            </w:r>
          </w:p>
        </w:tc>
        <w:tc>
          <w:p>
            <w:pPr>
              <w:pStyle w:val="Compact"/>
              <w:jc w:val="center"/>
            </w:pPr>
            <w:r>
              <w:t xml:space="preserve">47</w:t>
            </w:r>
          </w:p>
        </w:tc>
        <w:tc>
          <w:p>
            <w:pPr>
              <w:pStyle w:val="Compact"/>
              <w:jc w:val="center"/>
            </w:pPr>
            <w:r>
              <w:t xml:space="preserve">76</w:t>
            </w:r>
          </w:p>
        </w:tc>
        <w:tc>
          <w:p>
            <w:pPr>
              <w:pStyle w:val="Compact"/>
              <w:jc w:val="center"/>
            </w:pPr>
            <w:r>
              <w:t xml:space="preserve">236</w:t>
            </w:r>
          </w:p>
        </w:tc>
      </w:tr>
      <w:tr>
        <w:tc>
          <w:p>
            <w:pPr>
              <w:pStyle w:val="Compact"/>
              <w:jc w:val="center"/>
            </w:pPr>
            <w:r>
              <w:t xml:space="preserve">2007</w:t>
            </w:r>
          </w:p>
        </w:tc>
        <w:tc>
          <w:p>
            <w:pPr>
              <w:pStyle w:val="Compact"/>
              <w:jc w:val="center"/>
            </w:pPr>
            <w:r>
              <w:t xml:space="preserve">450</w:t>
            </w:r>
          </w:p>
        </w:tc>
        <w:tc>
          <w:p>
            <w:pPr>
              <w:pStyle w:val="Compact"/>
              <w:jc w:val="center"/>
            </w:pPr>
            <w:r>
              <w:t xml:space="preserve">45</w:t>
            </w:r>
          </w:p>
        </w:tc>
        <w:tc>
          <w:p>
            <w:pPr>
              <w:pStyle w:val="Compact"/>
              <w:jc w:val="center"/>
            </w:pPr>
            <w:r>
              <w:t xml:space="preserve">71</w:t>
            </w:r>
          </w:p>
        </w:tc>
        <w:tc>
          <w:p>
            <w:pPr>
              <w:pStyle w:val="Compact"/>
              <w:jc w:val="center"/>
            </w:pPr>
            <w:r>
              <w:t xml:space="preserve">165</w:t>
            </w:r>
          </w:p>
        </w:tc>
      </w:tr>
      <w:tr>
        <w:tc>
          <w:p>
            <w:pPr>
              <w:pStyle w:val="Compact"/>
              <w:jc w:val="center"/>
            </w:pPr>
            <w:r>
              <w:t xml:space="preserve">2008</w:t>
            </w:r>
          </w:p>
        </w:tc>
        <w:tc>
          <w:p>
            <w:pPr>
              <w:pStyle w:val="Compact"/>
              <w:jc w:val="center"/>
            </w:pPr>
            <w:r>
              <w:t xml:space="preserve">454</w:t>
            </w:r>
          </w:p>
        </w:tc>
        <w:tc>
          <w:p>
            <w:pPr>
              <w:pStyle w:val="Compact"/>
              <w:jc w:val="center"/>
            </w:pPr>
            <w:r>
              <w:t xml:space="preserve">47</w:t>
            </w:r>
          </w:p>
        </w:tc>
        <w:tc>
          <w:p>
            <w:pPr>
              <w:pStyle w:val="Compact"/>
              <w:jc w:val="center"/>
            </w:pPr>
            <w:r>
              <w:t xml:space="preserve">68</w:t>
            </w:r>
          </w:p>
        </w:tc>
        <w:tc>
          <w:p>
            <w:pPr>
              <w:pStyle w:val="Compact"/>
              <w:jc w:val="center"/>
            </w:pPr>
            <w:r>
              <w:t xml:space="preserve">181</w:t>
            </w:r>
          </w:p>
        </w:tc>
      </w:tr>
      <w:tr>
        <w:tc>
          <w:p>
            <w:pPr>
              <w:pStyle w:val="Compact"/>
              <w:jc w:val="center"/>
            </w:pPr>
            <w:r>
              <w:t xml:space="preserve">2009</w:t>
            </w:r>
          </w:p>
        </w:tc>
        <w:tc>
          <w:p>
            <w:pPr>
              <w:pStyle w:val="Compact"/>
              <w:jc w:val="center"/>
            </w:pPr>
            <w:r>
              <w:t xml:space="preserve">454</w:t>
            </w:r>
          </w:p>
        </w:tc>
        <w:tc>
          <w:p>
            <w:pPr>
              <w:pStyle w:val="Compact"/>
              <w:jc w:val="center"/>
            </w:pPr>
            <w:r>
              <w:t xml:space="preserve">43</w:t>
            </w:r>
          </w:p>
        </w:tc>
        <w:tc>
          <w:p>
            <w:pPr>
              <w:pStyle w:val="Compact"/>
              <w:jc w:val="center"/>
            </w:pPr>
            <w:r>
              <w:t xml:space="preserve">67</w:t>
            </w:r>
          </w:p>
        </w:tc>
        <w:tc>
          <w:p>
            <w:pPr>
              <w:pStyle w:val="Compact"/>
              <w:jc w:val="center"/>
            </w:pPr>
            <w:r>
              <w:t xml:space="preserve">168</w:t>
            </w:r>
          </w:p>
        </w:tc>
      </w:tr>
      <w:tr>
        <w:tc>
          <w:p>
            <w:pPr>
              <w:pStyle w:val="Compact"/>
              <w:jc w:val="center"/>
            </w:pPr>
            <w:r>
              <w:t xml:space="preserve">2010</w:t>
            </w:r>
          </w:p>
        </w:tc>
        <w:tc>
          <w:p>
            <w:pPr>
              <w:pStyle w:val="Compact"/>
              <w:jc w:val="center"/>
            </w:pPr>
            <w:r>
              <w:t xml:space="preserve">451</w:t>
            </w:r>
          </w:p>
        </w:tc>
        <w:tc>
          <w:p>
            <w:pPr>
              <w:pStyle w:val="Compact"/>
              <w:jc w:val="center"/>
            </w:pPr>
            <w:r>
              <w:t xml:space="preserve">47</w:t>
            </w:r>
          </w:p>
        </w:tc>
        <w:tc>
          <w:p>
            <w:pPr>
              <w:pStyle w:val="Compact"/>
              <w:jc w:val="center"/>
            </w:pPr>
            <w:r>
              <w:t xml:space="preserve">75</w:t>
            </w:r>
          </w:p>
        </w:tc>
        <w:tc>
          <w:p>
            <w:pPr>
              <w:pStyle w:val="Compact"/>
              <w:jc w:val="center"/>
            </w:pPr>
            <w:r>
              <w:t xml:space="preserve">169</w:t>
            </w:r>
          </w:p>
        </w:tc>
      </w:tr>
      <w:tr>
        <w:tc>
          <w:p>
            <w:pPr>
              <w:pStyle w:val="Compact"/>
              <w:jc w:val="center"/>
            </w:pPr>
            <w:r>
              <w:t xml:space="preserve">2011</w:t>
            </w:r>
          </w:p>
        </w:tc>
        <w:tc>
          <w:p>
            <w:pPr>
              <w:pStyle w:val="Compact"/>
              <w:jc w:val="center"/>
            </w:pPr>
            <w:r>
              <w:t xml:space="preserve">366</w:t>
            </w:r>
          </w:p>
        </w:tc>
        <w:tc>
          <w:p>
            <w:pPr>
              <w:pStyle w:val="Compact"/>
              <w:jc w:val="center"/>
            </w:pPr>
            <w:r>
              <w:t xml:space="preserve">7</w:t>
            </w:r>
          </w:p>
        </w:tc>
        <w:tc>
          <w:p>
            <w:pPr>
              <w:pStyle w:val="Compact"/>
              <w:jc w:val="center"/>
            </w:pPr>
            <w:r>
              <w:t xml:space="preserve">27</w:t>
            </w:r>
          </w:p>
        </w:tc>
        <w:tc>
          <w:p>
            <w:pPr>
              <w:pStyle w:val="Compact"/>
              <w:jc w:val="center"/>
            </w:pPr>
            <w:r>
              <w:t xml:space="preserve">89</w:t>
            </w:r>
          </w:p>
        </w:tc>
      </w:tr>
      <w:tr>
        <w:tc>
          <w:p>
            <w:pPr>
              <w:pStyle w:val="Compact"/>
              <w:jc w:val="center"/>
            </w:pPr>
            <w:r>
              <w:t xml:space="preserve">2012</w:t>
            </w:r>
          </w:p>
        </w:tc>
        <w:tc>
          <w:p>
            <w:pPr>
              <w:pStyle w:val="Compact"/>
              <w:jc w:val="center"/>
            </w:pPr>
            <w:r>
              <w:t xml:space="preserve">260</w:t>
            </w:r>
          </w:p>
        </w:tc>
        <w:tc>
          <w:p>
            <w:pPr>
              <w:pStyle w:val="Compact"/>
              <w:jc w:val="center"/>
            </w:pPr>
            <w:r>
              <w:t xml:space="preserve">NA</w:t>
            </w:r>
          </w:p>
        </w:tc>
        <w:tc>
          <w:p>
            <w:pPr>
              <w:pStyle w:val="Compact"/>
              <w:jc w:val="center"/>
            </w:pPr>
            <w:r>
              <w:t xml:space="preserve">18</w:t>
            </w:r>
          </w:p>
        </w:tc>
        <w:tc>
          <w:p>
            <w:pPr>
              <w:pStyle w:val="Compact"/>
              <w:jc w:val="center"/>
            </w:pPr>
            <w:r>
              <w:t xml:space="preserve">45</w:t>
            </w:r>
          </w:p>
        </w:tc>
      </w:tr>
      <w:tr>
        <w:tc>
          <w:p>
            <w:pPr>
              <w:pStyle w:val="Compact"/>
              <w:jc w:val="center"/>
            </w:pPr>
            <w:r>
              <w:t xml:space="preserve">2013</w:t>
            </w:r>
          </w:p>
        </w:tc>
        <w:tc>
          <w:p>
            <w:pPr>
              <w:pStyle w:val="Compact"/>
              <w:jc w:val="center"/>
            </w:pPr>
            <w:r>
              <w:t xml:space="preserve">11</w:t>
            </w:r>
          </w:p>
        </w:tc>
        <w:tc>
          <w:p>
            <w:pPr>
              <w:pStyle w:val="Compact"/>
              <w:jc w:val="center"/>
            </w:pPr>
            <w:r>
              <w:t xml:space="preserve">NA</w:t>
            </w:r>
          </w:p>
        </w:tc>
        <w:tc>
          <w:p>
            <w:pPr>
              <w:pStyle w:val="Compact"/>
              <w:jc w:val="center"/>
            </w:pPr>
            <w:r>
              <w:t xml:space="preserve">NA</w:t>
            </w:r>
          </w:p>
        </w:tc>
        <w:tc>
          <w:p>
            <w:pPr>
              <w:pStyle w:val="Compact"/>
              <w:jc w:val="center"/>
            </w:pPr>
            <w:r>
              <w:t xml:space="preserve">40</w:t>
            </w:r>
          </w:p>
        </w:tc>
      </w:tr>
    </w:tbl>
    <w:p>
      <w:pPr>
        <w:pStyle w:val="BodyText"/>
      </w:pPr>
      <w:r>
        <w:t xml:space="preserve">Table 2: Number of LAGOSNE sites available for trend analysis by parameter and year.</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Temperature</w:t>
            </w:r>
          </w:p>
        </w:tc>
        <w:tc>
          <w:p>
            <w:pPr>
              <w:pStyle w:val="Compact"/>
              <w:jc w:val="center"/>
            </w:pPr>
            <w:r>
              <w:t xml:space="preserve">°C</w:t>
            </w:r>
          </w:p>
        </w:tc>
        <w:tc>
          <w:p>
            <w:pPr>
              <w:pStyle w:val="Compact"/>
              <w:jc w:val="center"/>
            </w:pPr>
            <w:r>
              <w:t xml:space="preserve">22.1</w:t>
            </w:r>
          </w:p>
        </w:tc>
        <w:tc>
          <w:p>
            <w:pPr>
              <w:pStyle w:val="Compact"/>
              <w:jc w:val="center"/>
            </w:pPr>
            <w:r>
              <w:t xml:space="preserve">22.2</w:t>
            </w:r>
          </w:p>
        </w:tc>
        <w:tc>
          <w:p>
            <w:pPr>
              <w:pStyle w:val="Compact"/>
              <w:jc w:val="center"/>
            </w:pPr>
            <w:r>
              <w:t xml:space="preserve">26.7</w:t>
            </w:r>
          </w:p>
        </w:tc>
        <w:tc>
          <w:p>
            <w:pPr>
              <w:pStyle w:val="Compact"/>
              <w:jc w:val="center"/>
            </w:pPr>
            <w:r>
              <w:t xml:space="preserve">1.5</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605</w:t>
            </w:r>
          </w:p>
        </w:tc>
        <w:tc>
          <w:p>
            <w:pPr>
              <w:pStyle w:val="Compact"/>
              <w:jc w:val="center"/>
            </w:pPr>
            <w:r>
              <w:t xml:space="preserve">480</w:t>
            </w:r>
          </w:p>
        </w:tc>
        <w:tc>
          <w:p>
            <w:pPr>
              <w:pStyle w:val="Compact"/>
              <w:jc w:val="center"/>
            </w:pPr>
            <w:r>
              <w:t xml:space="preserve">4670</w:t>
            </w:r>
          </w:p>
        </w:tc>
        <w:tc>
          <w:p>
            <w:pPr>
              <w:pStyle w:val="Compact"/>
              <w:jc w:val="center"/>
            </w:pPr>
            <w:r>
              <w:t xml:space="preserve">400</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23</w:t>
            </w:r>
          </w:p>
        </w:tc>
        <w:tc>
          <w:p>
            <w:pPr>
              <w:pStyle w:val="Compact"/>
              <w:jc w:val="center"/>
            </w:pPr>
            <w:r>
              <w:t xml:space="preserve">15</w:t>
            </w:r>
          </w:p>
        </w:tc>
        <w:tc>
          <w:p>
            <w:pPr>
              <w:pStyle w:val="Compact"/>
              <w:jc w:val="center"/>
            </w:pPr>
            <w:r>
              <w:t xml:space="preserve">325</w:t>
            </w:r>
          </w:p>
        </w:tc>
        <w:tc>
          <w:p>
            <w:pPr>
              <w:pStyle w:val="Compact"/>
              <w:jc w:val="center"/>
            </w:pPr>
            <w:r>
              <w:t xml:space="preserve">30</w:t>
            </w:r>
          </w:p>
        </w:tc>
      </w:tr>
      <w:tr>
        <w:tc>
          <w:p>
            <w:pPr>
              <w:pStyle w:val="Compact"/>
              <w:jc w:val="center"/>
            </w:pPr>
            <w:r>
              <w:t xml:space="preserve">N:P</w:t>
            </w:r>
          </w:p>
        </w:tc>
        <w:tc>
          <w:p>
            <w:pPr>
              <w:pStyle w:val="Compact"/>
              <w:jc w:val="center"/>
            </w:pPr>
            <w:r>
              <w:t xml:space="preserve">molar</w:t>
            </w:r>
          </w:p>
        </w:tc>
        <w:tc>
          <w:p>
            <w:pPr>
              <w:pStyle w:val="Compact"/>
              <w:jc w:val="center"/>
            </w:pPr>
            <w:r>
              <w:t xml:space="preserve">85.03</w:t>
            </w:r>
          </w:p>
        </w:tc>
        <w:tc>
          <w:p>
            <w:pPr>
              <w:pStyle w:val="Compact"/>
              <w:jc w:val="center"/>
            </w:pPr>
            <w:r>
              <w:t xml:space="preserve">72</w:t>
            </w:r>
          </w:p>
        </w:tc>
        <w:tc>
          <w:p>
            <w:pPr>
              <w:pStyle w:val="Compact"/>
              <w:jc w:val="center"/>
            </w:pPr>
            <w:r>
              <w:t xml:space="preserve">402</w:t>
            </w:r>
          </w:p>
        </w:tc>
        <w:tc>
          <w:p>
            <w:pPr>
              <w:pStyle w:val="Compact"/>
              <w:jc w:val="center"/>
            </w:pPr>
            <w:r>
              <w:t xml:space="preserve">50</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9.5</w:t>
            </w:r>
          </w:p>
        </w:tc>
        <w:tc>
          <w:p>
            <w:pPr>
              <w:pStyle w:val="Compact"/>
              <w:jc w:val="center"/>
            </w:pPr>
            <w:r>
              <w:t xml:space="preserve">4.5</w:t>
            </w:r>
          </w:p>
        </w:tc>
        <w:tc>
          <w:p>
            <w:pPr>
              <w:pStyle w:val="Compact"/>
              <w:jc w:val="center"/>
            </w:pPr>
            <w:r>
              <w:t xml:space="preserve">152.6</w:t>
            </w:r>
          </w:p>
        </w:tc>
        <w:tc>
          <w:p>
            <w:pPr>
              <w:pStyle w:val="Compact"/>
              <w:jc w:val="center"/>
            </w:pPr>
            <w:r>
              <w:t xml:space="preserve">14.3</w:t>
            </w:r>
          </w:p>
        </w:tc>
      </w:tr>
    </w:tbl>
    <w:p>
      <w:pPr>
        <w:pStyle w:val="BodyText"/>
      </w:pPr>
      <w:r>
        <w:t xml:space="preserve">Table 3: Summary statistics for URI Watershed Watch data from 1993 to 2016.</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730</w:t>
            </w:r>
          </w:p>
        </w:tc>
        <w:tc>
          <w:p>
            <w:pPr>
              <w:pStyle w:val="Compact"/>
              <w:jc w:val="center"/>
            </w:pPr>
            <w:r>
              <w:t xml:space="preserve">560</w:t>
            </w:r>
          </w:p>
        </w:tc>
        <w:tc>
          <w:p>
            <w:pPr>
              <w:pStyle w:val="Compact"/>
              <w:jc w:val="center"/>
            </w:pPr>
            <w:r>
              <w:t xml:space="preserve">9920</w:t>
            </w:r>
          </w:p>
        </w:tc>
        <w:tc>
          <w:p>
            <w:pPr>
              <w:pStyle w:val="Compact"/>
              <w:jc w:val="center"/>
            </w:pPr>
            <w:r>
              <w:t xml:space="preserve">685</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31</w:t>
            </w:r>
          </w:p>
        </w:tc>
        <w:tc>
          <w:p>
            <w:pPr>
              <w:pStyle w:val="Compact"/>
              <w:jc w:val="center"/>
            </w:pPr>
            <w:r>
              <w:t xml:space="preserve">17</w:t>
            </w:r>
          </w:p>
        </w:tc>
        <w:tc>
          <w:p>
            <w:pPr>
              <w:pStyle w:val="Compact"/>
              <w:jc w:val="center"/>
            </w:pPr>
            <w:r>
              <w:t xml:space="preserve">767</w:t>
            </w:r>
          </w:p>
        </w:tc>
        <w:tc>
          <w:p>
            <w:pPr>
              <w:pStyle w:val="Compact"/>
              <w:jc w:val="center"/>
            </w:pPr>
            <w:r>
              <w:t xml:space="preserve">46</w:t>
            </w:r>
          </w:p>
        </w:tc>
      </w:tr>
      <w:tr>
        <w:tc>
          <w:p>
            <w:pPr>
              <w:pStyle w:val="Compact"/>
              <w:jc w:val="center"/>
            </w:pPr>
            <w:r>
              <w:t xml:space="preserve">N:P</w:t>
            </w:r>
          </w:p>
        </w:tc>
        <w:tc>
          <w:p>
            <w:pPr>
              <w:pStyle w:val="Compact"/>
              <w:jc w:val="center"/>
            </w:pPr>
            <w:r>
              <w:t xml:space="preserve">molar</w:t>
            </w:r>
          </w:p>
        </w:tc>
        <w:tc>
          <w:p>
            <w:pPr>
              <w:pStyle w:val="Compact"/>
              <w:jc w:val="center"/>
            </w:pPr>
            <w:r>
              <w:t xml:space="preserve">87.56</w:t>
            </w:r>
          </w:p>
        </w:tc>
        <w:tc>
          <w:p>
            <w:pPr>
              <w:pStyle w:val="Compact"/>
              <w:jc w:val="center"/>
            </w:pPr>
            <w:r>
              <w:t xml:space="preserve">68</w:t>
            </w:r>
          </w:p>
        </w:tc>
        <w:tc>
          <w:p>
            <w:pPr>
              <w:pStyle w:val="Compact"/>
              <w:jc w:val="center"/>
            </w:pPr>
            <w:r>
              <w:t xml:space="preserve">1550</w:t>
            </w:r>
          </w:p>
        </w:tc>
        <w:tc>
          <w:p>
            <w:pPr>
              <w:pStyle w:val="Compact"/>
              <w:jc w:val="center"/>
            </w:pPr>
            <w:r>
              <w:t xml:space="preserve">79</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16.1</w:t>
            </w:r>
          </w:p>
        </w:tc>
        <w:tc>
          <w:p>
            <w:pPr>
              <w:pStyle w:val="Compact"/>
              <w:jc w:val="center"/>
            </w:pPr>
            <w:r>
              <w:t xml:space="preserve">6.8</w:t>
            </w:r>
          </w:p>
        </w:tc>
        <w:tc>
          <w:p>
            <w:pPr>
              <w:pStyle w:val="Compact"/>
              <w:jc w:val="center"/>
            </w:pPr>
            <w:r>
              <w:t xml:space="preserve">311.6</w:t>
            </w:r>
          </w:p>
        </w:tc>
        <w:tc>
          <w:p>
            <w:pPr>
              <w:pStyle w:val="Compact"/>
              <w:jc w:val="center"/>
            </w:pPr>
            <w:r>
              <w:t xml:space="preserve">24.9</w:t>
            </w:r>
          </w:p>
        </w:tc>
      </w:tr>
    </w:tbl>
    <w:p>
      <w:pPr>
        <w:pStyle w:val="BodyText"/>
      </w:pPr>
      <w:r>
        <w:t xml:space="preserve">Table 4: Summary statistics for LAGOSNE data from 1993 to 2016.</w:t>
      </w:r>
    </w:p>
    <w:p>
      <w:pPr>
        <w:pStyle w:val="Heading6"/>
      </w:pPr>
      <w:bookmarkStart w:id="96" w:name="section-1"/>
      <w:bookmarkEnd w:id="96"/>
    </w:p>
    <w:p>
      <w:pPr>
        <w:pStyle w:val="Heading1"/>
      </w:pPr>
      <w:bookmarkStart w:id="97" w:name="figures"/>
      <w:r>
        <w:t xml:space="preserve">Figures</w:t>
      </w:r>
      <w:bookmarkEnd w:id="97"/>
    </w:p>
    <w:p>
      <w:pPr>
        <w:pStyle w:val="FirstParagraph"/>
      </w:pPr>
      <w:r>
        <w:drawing>
          <wp:inline>
            <wp:extent cx="5212080" cy="6812280"/>
            <wp:effectExtent b="0" l="0" r="0" t="0"/>
            <wp:docPr descr="" title="" id="1" name="Picture"/>
            <a:graphic>
              <a:graphicData uri="http://schemas.openxmlformats.org/drawingml/2006/picture">
                <pic:pic>
                  <pic:nvPicPr>
                    <pic:cNvPr descr="../../figures/ww_map.jpg" id="0" name="Picture"/>
                    <pic:cNvPicPr>
                      <a:picLocks noChangeArrowheads="1" noChangeAspect="1"/>
                    </pic:cNvPicPr>
                  </pic:nvPicPr>
                  <pic:blipFill>
                    <a:blip r:embed="rId98"/>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1: Map of URI Watershed Watch lake and reservoir sampling sites</w:t>
      </w:r>
    </w:p>
    <w:p>
      <w:pPr>
        <w:pStyle w:val="Heading6"/>
      </w:pPr>
      <w:bookmarkStart w:id="99" w:name="section-2"/>
      <w:bookmarkEnd w:id="99"/>
    </w:p>
    <w:p>
      <w:pPr>
        <w:pStyle w:val="FirstParagraph"/>
      </w:pPr>
      <w:r>
        <w:drawing>
          <wp:inline>
            <wp:extent cx="5943600" cy="3962400"/>
            <wp:effectExtent b="0" l="0" r="0" t="0"/>
            <wp:docPr descr=""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100"/>
                    <a:stretch>
                      <a:fillRect/>
                    </a:stretch>
                  </pic:blipFill>
                  <pic:spPr bwMode="auto">
                    <a:xfrm>
                      <a:off x="0" y="0"/>
                      <a:ext cx="5943600" cy="3962400"/>
                    </a:xfrm>
                    <a:prstGeom prst="rect">
                      <a:avLst/>
                    </a:prstGeom>
                    <a:noFill/>
                    <a:ln w="9525">
                      <a:noFill/>
                      <a:headEnd/>
                      <a:tailEnd/>
                    </a:ln>
                  </pic:spPr>
                </pic:pic>
              </a:graphicData>
            </a:graphic>
          </wp:inline>
        </w:drawing>
      </w:r>
      <w:r>
        <w:t xml:space="preserve"> </w:t>
      </w:r>
      <w:r>
        <w:t xml:space="preserve">Figure 2: Example calculation of the site-specific anomalies and yearly mean anomalies.</w:t>
      </w:r>
    </w:p>
    <w:p>
      <w:pPr>
        <w:pStyle w:val="Heading6"/>
      </w:pPr>
      <w:bookmarkStart w:id="101" w:name="section-3"/>
      <w:bookmarkEnd w:id="101"/>
    </w:p>
    <w:p>
      <w:pPr>
        <w:pStyle w:val="FirstParagraph"/>
      </w:pPr>
      <w:r>
        <w:drawing>
          <wp:inline>
            <wp:extent cx="5943600" cy="4457700"/>
            <wp:effectExtent b="0" l="0" r="0" t="0"/>
            <wp:docPr descr=""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102"/>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3: Yearly trend over 20+ years of lake temperature (mean anomaly) in Rhode Island lakes and reservoirs.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6"/>
      </w:pPr>
      <w:bookmarkStart w:id="103" w:name="section-4"/>
      <w:bookmarkEnd w:id="103"/>
    </w:p>
    <w:p>
      <w:pPr>
        <w:pStyle w:val="FirstParagraph"/>
      </w:pPr>
      <w:r>
        <w:drawing>
          <wp:inline>
            <wp:extent cx="5212080" cy="6812280"/>
            <wp:effectExtent b="0" l="0" r="0" t="0"/>
            <wp:docPr descr=""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104"/>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4: Yearly trend over 20+ years of chlorphyll a (mean anomaly). Panel A. Yearly mean chlorophyll a anomalies from the URI Watershed Watch data. Panel B. Yearly mean chlorophyll a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6"/>
      </w:pPr>
      <w:bookmarkStart w:id="105" w:name="section-5"/>
      <w:bookmarkEnd w:id="105"/>
    </w:p>
    <w:p>
      <w:pPr>
        <w:pStyle w:val="FirstParagraph"/>
      </w:pPr>
      <w:r>
        <w:drawing>
          <wp:inline>
            <wp:extent cx="5212080" cy="6812280"/>
            <wp:effectExtent b="0" l="0" r="0" t="0"/>
            <wp:docPr descr=""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106"/>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5: Yearly trend over 20+ years of TN (mean anomaly). Panel A. Yearly mean TN anomalies from the URI Watershed Watch dataset. Panel B. Yearly mean TN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Grey indicates yearly site specifica anomalies that were, on average equal to the long-term means. Missing years had insufficient data to calculate mean and standard deviation and an asterisk indicates year with only 3 sites and error bars are the range of the data.</w:t>
      </w:r>
    </w:p>
    <w:p>
      <w:pPr>
        <w:pStyle w:val="Heading6"/>
      </w:pPr>
      <w:bookmarkStart w:id="107" w:name="section-6"/>
      <w:bookmarkEnd w:id="107"/>
    </w:p>
    <w:p>
      <w:pPr>
        <w:pStyle w:val="FirstParagraph"/>
      </w:pPr>
      <w:r>
        <w:drawing>
          <wp:inline>
            <wp:extent cx="5212080" cy="6812280"/>
            <wp:effectExtent b="0" l="0" r="0" t="0"/>
            <wp:docPr descr=""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108"/>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6: Yearly trend over 20+ years of TP (mean anomaly). Panel A. Yearly mean TP anomalies from the URI Watershed Watch dataset. Panel B. Yearly mean TP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Missing years had insufficient data to calculate mean and standard deviation and an asterisk indicates year with only 3 sites and error bars are the range of the data.</w:t>
      </w:r>
    </w:p>
    <w:p>
      <w:pPr>
        <w:pStyle w:val="Heading6"/>
      </w:pPr>
      <w:bookmarkStart w:id="109" w:name="section-7"/>
      <w:bookmarkEnd w:id="109"/>
    </w:p>
    <w:p>
      <w:pPr>
        <w:pStyle w:val="FirstParagraph"/>
      </w:pPr>
      <w:r>
        <w:drawing>
          <wp:inline>
            <wp:extent cx="5212080" cy="6812280"/>
            <wp:effectExtent b="0" l="0" r="0" t="0"/>
            <wp:docPr descr=""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110"/>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7: Yearly trend over 20+ years of the TN:TP ratio (mean anomaly). Panel A. Yearly mean TN:TP ratio anomalies from the URI Watershed Watch dataset. Panel B. Yearly mean TN:TP ratio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Missing years had insufficient data to calculate mean and standard deviation and an asterisk indicates year with only 3 sites and error bars are the range of the data.</w:t>
      </w:r>
    </w:p>
    <w:p>
      <w:pPr>
        <w:pStyle w:val="Heading6"/>
      </w:pPr>
      <w:bookmarkStart w:id="111" w:name="section-8"/>
      <w:bookmarkEnd w:id="111"/>
    </w:p>
    <w:p>
      <w:pPr>
        <w:pStyle w:val="FirstParagraph"/>
      </w:pPr>
      <w:r>
        <w:drawing>
          <wp:inline>
            <wp:extent cx="5943600" cy="4457700"/>
            <wp:effectExtent b="0" l="0" r="0" t="0"/>
            <wp:docPr descr="" title="" id="1" name="Picture"/>
            <a:graphic>
              <a:graphicData uri="http://schemas.openxmlformats.org/drawingml/2006/picture">
                <pic:pic>
                  <pic:nvPicPr>
                    <pic:cNvPr descr="../../figures/simulated_data.jpg" id="0" name="Picture"/>
                    <pic:cNvPicPr>
                      <a:picLocks noChangeArrowheads="1" noChangeAspect="1"/>
                    </pic:cNvPicPr>
                  </pic:nvPicPr>
                  <pic:blipFill>
                    <a:blip r:embed="rId112"/>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8: Simulated data showing example of sites with no trend present and a low site early in a time preiod, a high site late in a time period, and on site measured across the time period.</w:t>
      </w:r>
    </w:p>
    <w:p>
      <w:pPr>
        <w:pStyle w:val="Heading6"/>
      </w:pPr>
      <w:bookmarkStart w:id="113" w:name="section-9"/>
      <w:bookmarkEnd w:id="113"/>
    </w:p>
    <w:p>
      <w:pPr>
        <w:pStyle w:val="FirstParagraph"/>
      </w:pPr>
      <w:r>
        <w:drawing>
          <wp:inline>
            <wp:extent cx="5943600" cy="4457700"/>
            <wp:effectExtent b="0" l="0" r="0" t="0"/>
            <wp:docPr descr="" title="" id="1" name="Picture"/>
            <a:graphic>
              <a:graphicData uri="http://schemas.openxmlformats.org/drawingml/2006/picture">
                <pic:pic>
                  <pic:nvPicPr>
                    <pic:cNvPr descr="../../figures/simulated_analysis.jpg" id="0" name="Picture"/>
                    <pic:cNvPicPr>
                      <a:picLocks noChangeArrowheads="1" noChangeAspect="1"/>
                    </pic:cNvPicPr>
                  </pic:nvPicPr>
                  <pic:blipFill>
                    <a:blip r:embed="rId114"/>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9: Analysis of simulated data with no trend present and a low site early in a time preiod, a high site late in a time period, and on site measured across the time period. Yearly average of the actual values is shown in red and yearly average of the site-specific anomalies is shown in blue.</w:t>
      </w:r>
    </w:p>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 Target="media/rId100.jpg" /><Relationship Type="http://schemas.openxmlformats.org/officeDocument/2006/relationships/image" Id="rId104" Target="media/rId104.jpg" /><Relationship Type="http://schemas.openxmlformats.org/officeDocument/2006/relationships/image" Id="rId110" Target="media/rId110.jpg" /><Relationship Type="http://schemas.openxmlformats.org/officeDocument/2006/relationships/image" Id="rId106" Target="media/rId106.jpg" /><Relationship Type="http://schemas.openxmlformats.org/officeDocument/2006/relationships/image" Id="rId108" Target="media/rId108.jpg" /><Relationship Type="http://schemas.openxmlformats.org/officeDocument/2006/relationships/image" Id="rId114" Target="media/rId114.jpg" /><Relationship Type="http://schemas.openxmlformats.org/officeDocument/2006/relationships/image" Id="rId112" Target="media/rId112.jpg" /><Relationship Type="http://schemas.openxmlformats.org/officeDocument/2006/relationships/image" Id="rId98" Target="media/rId98.jpg" /><Relationship Type="http://schemas.openxmlformats.org/officeDocument/2006/relationships/image" Id="rId102" Target="media/rId102.jpg" /><Relationship Type="http://schemas.openxmlformats.org/officeDocument/2006/relationships/hyperlink" Id="rId83" Target="https://cran.r-project.org/package=LAGOSNE" TargetMode="External" /><Relationship Type="http://schemas.openxmlformats.org/officeDocument/2006/relationships/hyperlink" Id="rId23" Target="https://doi.org/10.5281/zenodo.3662828" TargetMode="External"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83" Target="https://cran.r-project.org/package=LAGOSNE" TargetMode="External" /><Relationship Type="http://schemas.openxmlformats.org/officeDocument/2006/relationships/hyperlink" Id="rId23" Target="https://doi.org/10.5281/zenodo.3662828" TargetMode="External"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25</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Increasing Chlorophyll a Amid Stable Nutrient Concentrations in Rhode Island Lakes and Reservoirs</dc:title>
  <dc:creator>1 US Environmental Protection Agency, Office Of Research and Development, Atlantic Coastal Environmental Sciences Division, Narragansett, RI 02882; 2 University of Rhode Island, Department of Natural Resources Science, Kingston, RI 02881; 3 ORISE, Narragansett, RI 02882; Authors: Hollister. J. W. * 1, Kellogg, D. Q. 2, Kreakie, B. J. 1, Shivers, S. 3, Milstead, W. B. 1, Herron, E. 2, Green, L. 2, Gold, A. 2; Corresponding author: hollister.jeff@epa.gov</dc:creator>
  <cp:keywords/>
  <dcterms:created xsi:type="dcterms:W3CDTF">2020-08-13T14:10:22Z</dcterms:created>
  <dcterms:modified xsi:type="dcterms:W3CDTF">2020-08-13T14:10:22Z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analyze a sub-regional (i.e., 3000 km2)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sub-regional extents, respectively. We assess regional (LAGOSNE) and state (URIWW) trends with yearly mean anomalies calculated on a per-station basis. Sub-regionally, temperature and chlorophyll a increased from 1993 to 2016. Total nitrogen shows a weak increase driven by low years in the early 1990s. Total phosphorus and the nitrogen:phosphorus ratio (N:P) were stable. At the regional scale, the LAGOSNE dataset shows similar trends to prior studies of the LAGOSNE with chlorophyll a, total nitrogen, total phosphorus, and N:P all stable over time. In short, algal biomass, as measured by chlorophyll a in Rhode Island lakes and reservoirs is increasing, despite stability in total nitrogen, total phosphorus, and the nitrogen to phosphorus ratio. This analysis suggests an association between lake temperature and primary production. Additionally, we demonstrate both the value of long-term monitoring programs, like URIWW, for identifying trends in environmental condition, and the utility of site-specific anomalies for analyzing for long-term water quality trends.Keywords: Volunteer Monitoring, Citizen Science, Nutrients, Lakes, Trend Analysis, Long Term</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